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6BA" w:rsidRPr="000D56BA" w:rsidRDefault="000D56BA" w:rsidP="000D56BA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0D56BA" w:rsidRPr="00523A64" w:rsidTr="001C6CF0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0D56BA" w:rsidRPr="001A3018" w:rsidRDefault="000D56BA" w:rsidP="001C6CF0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0D56BA" w:rsidRDefault="000D56BA" w:rsidP="001C6CF0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"http://cpd.hk/evt000000288/"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Financial Fraud:</w:t>
            </w:r>
          </w:p>
          <w:p w:rsidR="000D56BA" w:rsidRDefault="000D56BA" w:rsidP="001C6CF0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Investigation</w:t>
            </w:r>
          </w:p>
          <w:p w:rsidR="000D56BA" w:rsidRDefault="000D56BA" w:rsidP="001C6CF0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Prevention</w:t>
            </w:r>
          </w:p>
          <w:p w:rsidR="000D56BA" w:rsidRPr="00C65AFD" w:rsidRDefault="000D56BA" w:rsidP="001C6C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0D56BA" w:rsidRPr="00C65AFD" w:rsidRDefault="000D56BA" w:rsidP="001C6CF0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0D56BA" w:rsidRDefault="000D56BA" w:rsidP="001C6CF0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Dr. Francis K. Liu</w:t>
              </w:r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0D56BA" w:rsidRDefault="000D56BA" w:rsidP="001C6CF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0616D1">
              <w:rPr>
                <w:rFonts w:ascii="Arial" w:hAnsi="Arial" w:cs="Arial"/>
                <w:color w:val="6C6361"/>
                <w:sz w:val="24"/>
                <w:szCs w:val="24"/>
              </w:rPr>
              <w:t>SF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C Registered Investment Adviser</w:t>
            </w:r>
          </w:p>
          <w:p w:rsidR="000D56BA" w:rsidRDefault="000D56BA" w:rsidP="001C6CF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(RA4 &amp; RA6),</w:t>
            </w:r>
          </w:p>
          <w:p w:rsidR="000D56BA" w:rsidRDefault="000D56BA" w:rsidP="001C6CF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Registered Financial Planner</w:t>
            </w:r>
          </w:p>
          <w:p w:rsidR="000D56BA" w:rsidRDefault="000D56BA" w:rsidP="001C6CF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0616D1">
              <w:rPr>
                <w:rFonts w:ascii="Arial" w:hAnsi="Arial" w:cs="Arial"/>
                <w:color w:val="6C6361"/>
                <w:sz w:val="24"/>
                <w:szCs w:val="24"/>
              </w:rPr>
              <w:t>(HK &amp; PRC)</w:t>
            </w:r>
          </w:p>
          <w:p w:rsidR="000D56BA" w:rsidRPr="00D87ECF" w:rsidRDefault="000D56BA" w:rsidP="001C6CF0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0D56BA" w:rsidRPr="00D50772" w:rsidRDefault="000D56BA" w:rsidP="001C6CF0">
            <w:pPr>
              <w:spacing w:line="276" w:lineRule="auto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21492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E4A18E4" wp14:editId="2BA9CB5B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-73025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BEB2486" wp14:editId="76E4E093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</w:p>
        </w:tc>
      </w:tr>
    </w:tbl>
    <w:p w:rsidR="000D56BA" w:rsidRPr="00CF5CDE" w:rsidRDefault="000D56BA" w:rsidP="000D56BA">
      <w:pPr>
        <w:spacing w:line="276" w:lineRule="auto"/>
        <w:jc w:val="left"/>
        <w:rPr>
          <w:rFonts w:ascii="Arial" w:hAnsi="Arial" w:cs="Arial"/>
          <w:sz w:val="16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0D56BA" w:rsidRPr="00CF5CDE" w:rsidTr="001C6CF0">
        <w:trPr>
          <w:trHeight w:val="5634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0D56BA" w:rsidRPr="00CF5CDE" w:rsidRDefault="000D56BA" w:rsidP="001C6C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F5CDE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5885493" wp14:editId="1A2157E8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0D56BA" w:rsidRPr="00CF5CDE" w:rsidRDefault="000D56BA" w:rsidP="000D56B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Cs w:val="22"/>
              </w:rPr>
            </w:pPr>
            <w:r w:rsidRPr="00CF5CDE">
              <w:rPr>
                <w:rFonts w:ascii="Arial" w:hAnsi="Arial" w:cs="Arial"/>
                <w:color w:val="6C6361"/>
                <w:szCs w:val="22"/>
              </w:rPr>
              <w:t>Dr. Francis K. Liu is the SFC Registered Investment Adviser holding Type 4 and Type 6 Licenses.  He is a Registered Financial Planner (HK &amp; PRC) and has extensive management, corporate finance, structural finance, commercial banking and investment banking experiences within the Asia Pacific Region.</w:t>
            </w:r>
          </w:p>
          <w:p w:rsidR="000D56BA" w:rsidRPr="00CF5CDE" w:rsidRDefault="000D56BA" w:rsidP="000D56B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0D56BA" w:rsidRPr="00CF5CDE" w:rsidRDefault="000D56BA" w:rsidP="000D56B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Cs w:val="22"/>
              </w:rPr>
            </w:pPr>
            <w:r w:rsidRPr="00CF5CDE">
              <w:rPr>
                <w:rFonts w:ascii="Arial" w:hAnsi="Arial" w:cs="Arial"/>
                <w:color w:val="6C6361"/>
                <w:szCs w:val="22"/>
              </w:rPr>
              <w:t xml:space="preserve">Currently, Dr. Liu is the Managing Director of Guangdong (International) Capital Limited, the external Asset Manager of Credit-Suisse (Zurich), Independent Financial Adviser and International Intermediary for </w:t>
            </w:r>
            <w:proofErr w:type="spellStart"/>
            <w:r w:rsidRPr="00CF5CDE">
              <w:rPr>
                <w:rFonts w:ascii="Arial" w:hAnsi="Arial" w:cs="Arial"/>
                <w:color w:val="6C6361"/>
                <w:szCs w:val="22"/>
              </w:rPr>
              <w:t>Liechtensteinische</w:t>
            </w:r>
            <w:proofErr w:type="spellEnd"/>
            <w:r w:rsidRPr="00CF5CDE">
              <w:rPr>
                <w:rFonts w:ascii="Arial" w:hAnsi="Arial" w:cs="Arial"/>
                <w:color w:val="6C6361"/>
                <w:szCs w:val="22"/>
              </w:rPr>
              <w:t xml:space="preserve"> </w:t>
            </w:r>
            <w:proofErr w:type="spellStart"/>
            <w:r w:rsidRPr="00CF5CDE">
              <w:rPr>
                <w:rFonts w:ascii="Arial" w:hAnsi="Arial" w:cs="Arial"/>
                <w:color w:val="6C6361"/>
                <w:szCs w:val="22"/>
              </w:rPr>
              <w:t>Landesbank</w:t>
            </w:r>
            <w:proofErr w:type="spellEnd"/>
            <w:r w:rsidRPr="00CF5CDE">
              <w:rPr>
                <w:rFonts w:ascii="Arial" w:hAnsi="Arial" w:cs="Arial"/>
                <w:color w:val="6C6361"/>
                <w:szCs w:val="22"/>
              </w:rPr>
              <w:t>, Liechtenstein. Ad</w:t>
            </w:r>
            <w:r w:rsidRPr="00CF5CDE">
              <w:rPr>
                <w:rFonts w:ascii="Arial" w:hAnsi="Arial" w:cs="Arial" w:hint="eastAsia"/>
                <w:color w:val="6C6361"/>
                <w:szCs w:val="22"/>
              </w:rPr>
              <w:t xml:space="preserve">visor to the Board of the </w:t>
            </w:r>
            <w:proofErr w:type="spellStart"/>
            <w:r w:rsidRPr="00CF5CDE">
              <w:rPr>
                <w:rFonts w:ascii="Arial" w:hAnsi="Arial" w:cs="Arial" w:hint="eastAsia"/>
                <w:color w:val="6C6361"/>
                <w:szCs w:val="22"/>
              </w:rPr>
              <w:t>Zhong</w:t>
            </w:r>
            <w:proofErr w:type="spellEnd"/>
            <w:r w:rsidRPr="00CF5CDE">
              <w:rPr>
                <w:rFonts w:ascii="Arial" w:hAnsi="Arial" w:cs="Arial" w:hint="eastAsia"/>
                <w:color w:val="6C6361"/>
                <w:szCs w:val="22"/>
              </w:rPr>
              <w:t xml:space="preserve"> </w:t>
            </w:r>
            <w:proofErr w:type="spellStart"/>
            <w:r w:rsidRPr="00CF5CDE">
              <w:rPr>
                <w:rFonts w:ascii="Arial" w:hAnsi="Arial" w:cs="Arial" w:hint="eastAsia"/>
                <w:color w:val="6C6361"/>
                <w:szCs w:val="22"/>
              </w:rPr>
              <w:t>Cai</w:t>
            </w:r>
            <w:proofErr w:type="spellEnd"/>
            <w:r w:rsidRPr="00CF5CDE">
              <w:rPr>
                <w:rFonts w:ascii="Arial" w:hAnsi="Arial" w:cs="Arial" w:hint="eastAsia"/>
                <w:color w:val="6C6361"/>
                <w:szCs w:val="22"/>
              </w:rPr>
              <w:t xml:space="preserve"> Offshore Investment Fund (</w:t>
            </w:r>
            <w:r w:rsidRPr="00CF5CDE">
              <w:rPr>
                <w:rFonts w:ascii="微軟正黑體" w:eastAsia="微軟正黑體" w:hAnsi="微軟正黑體" w:cs="Arial" w:hint="eastAsia"/>
                <w:color w:val="6C6361"/>
                <w:szCs w:val="22"/>
              </w:rPr>
              <w:t>中財海外投資基金</w:t>
            </w:r>
            <w:r w:rsidRPr="00CF5CDE">
              <w:rPr>
                <w:rFonts w:ascii="Arial" w:hAnsi="Arial" w:cs="Arial" w:hint="eastAsia"/>
                <w:color w:val="6C6361"/>
                <w:szCs w:val="22"/>
              </w:rPr>
              <w:t>) under Ministry of Finance in the PRC, the Advisor to the Government of East Timor and to Peru.</w:t>
            </w:r>
          </w:p>
          <w:p w:rsidR="000D56BA" w:rsidRPr="00CF5CDE" w:rsidRDefault="000D56BA" w:rsidP="000D56B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0D56BA" w:rsidRPr="00CF5CDE" w:rsidRDefault="000D56BA" w:rsidP="000D56B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Cs w:val="22"/>
              </w:rPr>
            </w:pPr>
            <w:r w:rsidRPr="00CF5CDE">
              <w:rPr>
                <w:rFonts w:ascii="Arial" w:hAnsi="Arial" w:cs="Arial"/>
                <w:color w:val="6C6361"/>
                <w:szCs w:val="22"/>
              </w:rPr>
              <w:t>Prior to the above, he held senior management position with ING Bank, S-E-</w:t>
            </w:r>
            <w:proofErr w:type="spellStart"/>
            <w:r w:rsidRPr="00CF5CDE">
              <w:rPr>
                <w:rFonts w:ascii="Arial" w:hAnsi="Arial" w:cs="Arial"/>
                <w:color w:val="6C6361"/>
                <w:szCs w:val="22"/>
              </w:rPr>
              <w:t>Banken</w:t>
            </w:r>
            <w:proofErr w:type="spellEnd"/>
            <w:r w:rsidRPr="00CF5CDE">
              <w:rPr>
                <w:rFonts w:ascii="Arial" w:hAnsi="Arial" w:cs="Arial"/>
                <w:color w:val="6C6361"/>
                <w:szCs w:val="22"/>
              </w:rPr>
              <w:t xml:space="preserve">, Swiss Bank Corporation, Liu Chong </w:t>
            </w:r>
            <w:proofErr w:type="spellStart"/>
            <w:r w:rsidRPr="00CF5CDE">
              <w:rPr>
                <w:rFonts w:ascii="Arial" w:hAnsi="Arial" w:cs="Arial"/>
                <w:color w:val="6C6361"/>
                <w:szCs w:val="22"/>
              </w:rPr>
              <w:t>Hing</w:t>
            </w:r>
            <w:proofErr w:type="spellEnd"/>
            <w:r w:rsidRPr="00CF5CDE">
              <w:rPr>
                <w:rFonts w:ascii="Arial" w:hAnsi="Arial" w:cs="Arial"/>
                <w:color w:val="6C6361"/>
                <w:szCs w:val="22"/>
              </w:rPr>
              <w:t xml:space="preserve"> Bank and John D. Hutchison Group.</w:t>
            </w:r>
          </w:p>
          <w:p w:rsidR="000D56BA" w:rsidRPr="00CF5CDE" w:rsidRDefault="000D56BA" w:rsidP="000D56B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0D56BA" w:rsidRPr="00CF5CDE" w:rsidRDefault="000D56BA" w:rsidP="000D56B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Cs w:val="22"/>
              </w:rPr>
            </w:pPr>
            <w:r w:rsidRPr="00CF5CDE">
              <w:rPr>
                <w:rFonts w:ascii="Arial" w:hAnsi="Arial" w:cs="Arial"/>
                <w:color w:val="6C6361"/>
                <w:szCs w:val="22"/>
              </w:rPr>
              <w:t xml:space="preserve">During the years of working experiences in the banking and finance sector, he has established strong business relationship with BNP-Paribas, </w:t>
            </w:r>
            <w:proofErr w:type="spellStart"/>
            <w:r w:rsidRPr="00CF5CDE">
              <w:rPr>
                <w:rFonts w:ascii="Arial" w:hAnsi="Arial" w:cs="Arial"/>
                <w:color w:val="6C6361"/>
                <w:szCs w:val="22"/>
              </w:rPr>
              <w:t>CitiCorp</w:t>
            </w:r>
            <w:proofErr w:type="spellEnd"/>
            <w:r w:rsidRPr="00CF5CDE">
              <w:rPr>
                <w:rFonts w:ascii="Arial" w:hAnsi="Arial" w:cs="Arial"/>
                <w:color w:val="6C6361"/>
                <w:szCs w:val="22"/>
              </w:rPr>
              <w:t xml:space="preserve">, DBS Bank, </w:t>
            </w:r>
            <w:proofErr w:type="spellStart"/>
            <w:r w:rsidRPr="00CF5CDE">
              <w:rPr>
                <w:rFonts w:ascii="Arial" w:hAnsi="Arial" w:cs="Arial"/>
                <w:color w:val="6C6361"/>
                <w:szCs w:val="22"/>
              </w:rPr>
              <w:t>Societe</w:t>
            </w:r>
            <w:proofErr w:type="spellEnd"/>
            <w:r w:rsidRPr="00CF5CDE">
              <w:rPr>
                <w:rFonts w:ascii="Arial" w:hAnsi="Arial" w:cs="Arial"/>
                <w:color w:val="6C6361"/>
                <w:szCs w:val="22"/>
              </w:rPr>
              <w:t xml:space="preserve"> </w:t>
            </w:r>
            <w:proofErr w:type="spellStart"/>
            <w:r w:rsidRPr="00CF5CDE">
              <w:rPr>
                <w:rFonts w:ascii="Arial" w:hAnsi="Arial" w:cs="Arial"/>
                <w:color w:val="6C6361"/>
                <w:szCs w:val="22"/>
              </w:rPr>
              <w:t>Generale</w:t>
            </w:r>
            <w:proofErr w:type="spellEnd"/>
            <w:r w:rsidRPr="00CF5CDE">
              <w:rPr>
                <w:rFonts w:ascii="Arial" w:hAnsi="Arial" w:cs="Arial"/>
                <w:color w:val="6C6361"/>
                <w:szCs w:val="22"/>
              </w:rPr>
              <w:t xml:space="preserve"> (HK &amp; PRC), Morgan Stanley, Macquarie (Hong Kong) Limited, CLSA, Millennium Finance Corp (Dubai) and has long standing work relation with Man Investments and MF Global.</w:t>
            </w:r>
          </w:p>
        </w:tc>
      </w:tr>
    </w:tbl>
    <w:p w:rsidR="000D56BA" w:rsidRPr="00CF5CDE" w:rsidRDefault="000D56BA" w:rsidP="000D56BA">
      <w:pPr>
        <w:spacing w:line="276" w:lineRule="auto"/>
        <w:rPr>
          <w:rFonts w:ascii="Arial" w:hAnsi="Arial" w:cs="Arial"/>
          <w:sz w:val="16"/>
          <w:szCs w:val="18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0D56BA" w:rsidRPr="00CF5CDE" w:rsidTr="001C6CF0">
        <w:trPr>
          <w:trHeight w:val="340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0D56BA" w:rsidRPr="00CF5CDE" w:rsidRDefault="000D56BA" w:rsidP="001C6CF0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  <w:sz w:val="24"/>
              </w:rPr>
            </w:pPr>
            <w:r w:rsidRPr="00CF5CDE">
              <w:rPr>
                <w:rFonts w:ascii="Arial" w:hAnsi="Arial" w:cs="Arial"/>
                <w:b/>
                <w:color w:val="524B48"/>
                <w:sz w:val="24"/>
              </w:rPr>
              <w:t>The course will cover the following: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D56BA" w:rsidRPr="00CF5CDE" w:rsidRDefault="000D56BA" w:rsidP="001C6CF0">
            <w:pPr>
              <w:spacing w:line="276" w:lineRule="auto"/>
              <w:jc w:val="center"/>
              <w:rPr>
                <w:rFonts w:ascii="Arial" w:hAnsi="Arial" w:cs="Arial"/>
                <w:b/>
                <w:color w:val="524B48"/>
                <w:sz w:val="24"/>
              </w:rPr>
            </w:pPr>
            <w:r w:rsidRPr="00C10550">
              <w:rPr>
                <w:rFonts w:ascii="Arial" w:hAnsi="Arial" w:cs="Arial"/>
                <w:noProof/>
                <w:color w:val="6C6361"/>
                <w:sz w:val="24"/>
              </w:rPr>
              <w:drawing>
                <wp:inline distT="0" distB="0" distL="0" distR="0" wp14:anchorId="0C362438" wp14:editId="14183005">
                  <wp:extent cx="892800" cy="1022400"/>
                  <wp:effectExtent l="0" t="0" r="317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6BA" w:rsidRPr="00CF5CDE" w:rsidTr="001C6CF0">
        <w:trPr>
          <w:trHeight w:val="1457"/>
          <w:jc w:val="center"/>
        </w:trPr>
        <w:tc>
          <w:tcPr>
            <w:tcW w:w="907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0D56BA" w:rsidRPr="00CF5CDE" w:rsidRDefault="000D56BA" w:rsidP="001C6CF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</w:rPr>
            </w:pPr>
            <w:r w:rsidRPr="00CF5CDE">
              <w:rPr>
                <w:rFonts w:ascii="Arial" w:hAnsi="Arial" w:cs="Arial"/>
                <w:color w:val="6C6361"/>
                <w:sz w:val="24"/>
              </w:rPr>
              <w:t>Front-End-Fraud</w:t>
            </w:r>
          </w:p>
          <w:p w:rsidR="000D56BA" w:rsidRPr="00CF5CDE" w:rsidRDefault="000D56BA" w:rsidP="001C6CF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</w:rPr>
            </w:pPr>
            <w:r w:rsidRPr="00CF5CDE">
              <w:rPr>
                <w:rFonts w:ascii="Arial" w:hAnsi="Arial" w:cs="Arial"/>
                <w:color w:val="6C6361"/>
                <w:sz w:val="24"/>
              </w:rPr>
              <w:t>Discount on Face Value</w:t>
            </w:r>
          </w:p>
          <w:p w:rsidR="000D56BA" w:rsidRPr="00CF5CDE" w:rsidRDefault="000D56BA" w:rsidP="001C6CF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</w:rPr>
            </w:pPr>
            <w:r w:rsidRPr="00CF5CDE">
              <w:rPr>
                <w:rFonts w:ascii="Arial" w:hAnsi="Arial" w:cs="Arial"/>
                <w:color w:val="6C6361"/>
                <w:sz w:val="24"/>
              </w:rPr>
              <w:t>Fake Financial Instruments</w:t>
            </w:r>
          </w:p>
          <w:p w:rsidR="000D56BA" w:rsidRPr="00CF5CDE" w:rsidRDefault="000D56BA" w:rsidP="001C6CF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</w:rPr>
            </w:pPr>
            <w:r w:rsidRPr="00CF5CDE">
              <w:rPr>
                <w:rFonts w:ascii="Arial" w:hAnsi="Arial" w:cs="Arial"/>
                <w:color w:val="6C6361"/>
                <w:sz w:val="24"/>
              </w:rPr>
              <w:t>Case Studies on Investigation and Prevention</w:t>
            </w:r>
          </w:p>
        </w:tc>
        <w:tc>
          <w:tcPr>
            <w:tcW w:w="1701" w:type="dxa"/>
            <w:vMerge/>
            <w:tcBorders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D56BA" w:rsidRPr="00CF5CDE" w:rsidRDefault="000D56BA" w:rsidP="001C6CF0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</w:rPr>
            </w:pPr>
          </w:p>
        </w:tc>
      </w:tr>
    </w:tbl>
    <w:p w:rsidR="009B566F" w:rsidRPr="000D56BA" w:rsidRDefault="009B566F" w:rsidP="00474066">
      <w:pPr>
        <w:spacing w:line="276" w:lineRule="auto"/>
        <w:rPr>
          <w:rFonts w:ascii="Arial" w:hAnsi="Arial" w:cs="Arial"/>
          <w:sz w:val="16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0D56BA" w:rsidRPr="000762CF" w:rsidTr="00C02761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EVT000000288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0D56BA" w:rsidRPr="000762CF" w:rsidTr="00C02761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D56BA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31 October 2019 (Thursday)</w:t>
            </w:r>
          </w:p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D56BA" w:rsidRPr="00CF5CDE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CF5CD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Cantonese</w:t>
            </w:r>
          </w:p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CF5CD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(Course Materials in English)</w:t>
            </w:r>
          </w:p>
        </w:tc>
      </w:tr>
      <w:tr w:rsidR="000D56BA" w:rsidRPr="000762CF" w:rsidTr="00C02761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D56BA" w:rsidRPr="00320F79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D56BA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0D56BA" w:rsidRPr="00E843DA" w:rsidRDefault="000D56BA" w:rsidP="000D5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474066" w:rsidRPr="000762CF" w:rsidTr="00C02761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3843D703" wp14:editId="1D9C4D4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4066" w:rsidRPr="00156567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04C952D" wp14:editId="65039BA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C02761" w:rsidRDefault="00214BC6" w:rsidP="00474066">
      <w:pPr>
        <w:rPr>
          <w:sz w:val="2"/>
          <w:szCs w:val="2"/>
        </w:rPr>
      </w:pPr>
    </w:p>
    <w:sectPr w:rsidR="00214BC6" w:rsidRPr="00C02761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D20" w:rsidRDefault="009F0D20" w:rsidP="00546556">
      <w:r>
        <w:separator/>
      </w:r>
    </w:p>
  </w:endnote>
  <w:endnote w:type="continuationSeparator" w:id="0">
    <w:p w:rsidR="009F0D20" w:rsidRDefault="009F0D20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D20" w:rsidRDefault="009F0D20" w:rsidP="00546556">
      <w:r>
        <w:separator/>
      </w:r>
    </w:p>
  </w:footnote>
  <w:footnote w:type="continuationSeparator" w:id="0">
    <w:p w:rsidR="009F0D20" w:rsidRDefault="009F0D20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VjdiTA+hKFBKbsKePdHZ8r8hx6yRMLiKQ3F7HvE9dW1TU4KVg2yX6QEKss95j6bt6YuoJ25DQ1H+hO6XfxwqWQ==" w:salt="HgXDUxq+q4f4AHkPMFvOX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6BA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3BC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2D7D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261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0BE9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C7C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5743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C0D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4066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788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78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A67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3CF1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074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219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74A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66F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0D20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26DC6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68B9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2761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3DCD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0CEE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34D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211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231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88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E8F12-0078-475F-B049-E26EE0A75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Surrogacy: The Long and Winding Road Ahead</vt:lpstr>
    </vt:vector>
  </TitlesOfParts>
  <Manager>Tyrone Tsang</Manager>
  <Company>The Profectional Company Limited</Company>
  <LinksUpToDate>false</LinksUpToDate>
  <CharactersWithSpaces>2148</CharactersWithSpaces>
  <SharedDoc>false</SharedDoc>
  <HyperlinkBase>http://download.profectional.com/events/EVT000000288.docx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Financial Fraud: Investigation and Prevention</dc:title>
  <dc:subject>CPD Course, CPT Course: Financial Fraud: Investigation and Prevention</dc:subject>
  <dc:creator>The Profectional Company Limited</dc:creator>
  <cp:keywords>Profectional; Kornerstone; CPD; CPT; CLE; CE; RME; Francis K. Liu; SFC Registered Investment Adviser; RA4; RA6; Registered Financial Planner; HK; PRC</cp:keywords>
  <cp:lastModifiedBy>Tyrone Tsang</cp:lastModifiedBy>
  <cp:revision>35</cp:revision>
  <cp:lastPrinted>2019-10-29T14:47:00Z</cp:lastPrinted>
  <dcterms:created xsi:type="dcterms:W3CDTF">2015-05-28T16:24:00Z</dcterms:created>
  <dcterms:modified xsi:type="dcterms:W3CDTF">2019-10-29T14:47:00Z</dcterms:modified>
</cp:coreProperties>
</file>