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7AE" w:rsidRPr="00ED17AE" w:rsidRDefault="00ED17AE" w:rsidP="00ED17A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D17AE" w:rsidRPr="00523A64" w:rsidTr="00190D48">
        <w:trPr>
          <w:trHeight w:val="3119"/>
          <w:jc w:val="center"/>
        </w:trPr>
        <w:tc>
          <w:tcPr>
            <w:tcW w:w="4797" w:type="dxa"/>
            <w:shd w:val="clear" w:color="auto" w:fill="FFFFFF"/>
            <w:vAlign w:val="center"/>
          </w:tcPr>
          <w:p w:rsidR="00ED17AE" w:rsidRPr="001A3018" w:rsidRDefault="00ED17AE" w:rsidP="00190D48">
            <w:pPr>
              <w:jc w:val="center"/>
              <w:rPr>
                <w:rFonts w:ascii="Arial" w:hAnsi="Arial" w:cs="Arial"/>
                <w:b/>
                <w:bCs/>
                <w:color w:val="524B48"/>
                <w:sz w:val="4"/>
                <w:szCs w:val="4"/>
              </w:rPr>
            </w:pPr>
          </w:p>
          <w:p w:rsidR="00ED17AE" w:rsidRDefault="00ED17AE" w:rsidP="00190D48">
            <w:pPr>
              <w:jc w:val="center"/>
              <w:rPr>
                <w:rStyle w:val="Hyperlink"/>
                <w:rFonts w:ascii="Arial" w:hAnsi="Arial" w:cs="Arial"/>
                <w:b/>
                <w:bCs/>
                <w:color w:val="524B48"/>
                <w:sz w:val="32"/>
                <w:szCs w:val="32"/>
                <w:u w:val="none"/>
              </w:rPr>
            </w:pPr>
            <w:r w:rsidRPr="00CF685C">
              <w:fldChar w:fldCharType="begin"/>
            </w:r>
            <w:r>
              <w:instrText>HYPERLINK "http://cpd.hk/evt000000289/"</w:instrText>
            </w:r>
            <w:r w:rsidRPr="00CF685C">
              <w:fldChar w:fldCharType="separate"/>
            </w:r>
            <w:r>
              <w:rPr>
                <w:rStyle w:val="Hyperlink"/>
                <w:rFonts w:ascii="Arial" w:hAnsi="Arial" w:cs="Arial"/>
                <w:b/>
                <w:bCs/>
                <w:color w:val="524B48"/>
                <w:sz w:val="32"/>
                <w:szCs w:val="32"/>
                <w:u w:val="none"/>
              </w:rPr>
              <w:t>Medicine, Wine, Art,</w:t>
            </w:r>
          </w:p>
          <w:p w:rsidR="00ED17AE" w:rsidRDefault="00ED17AE" w:rsidP="00190D4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Traditional Skills and</w:t>
            </w:r>
          </w:p>
          <w:p w:rsidR="00ED17AE" w:rsidRDefault="00ED17AE" w:rsidP="00190D4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Cultural Appropriation:</w:t>
            </w:r>
          </w:p>
          <w:p w:rsidR="00ED17AE" w:rsidRDefault="00ED17AE" w:rsidP="00190D48">
            <w:pPr>
              <w:jc w:val="center"/>
              <w:rPr>
                <w:rStyle w:val="Hyperlink"/>
                <w:rFonts w:ascii="Arial" w:hAnsi="Arial" w:cs="Arial"/>
                <w:b/>
                <w:bCs/>
                <w:color w:val="524B48"/>
                <w:sz w:val="32"/>
                <w:szCs w:val="32"/>
                <w:u w:val="none"/>
              </w:rPr>
            </w:pPr>
            <w:r w:rsidRPr="004130AC">
              <w:rPr>
                <w:rStyle w:val="Hyperlink"/>
                <w:rFonts w:ascii="Arial" w:hAnsi="Arial" w:cs="Arial"/>
                <w:b/>
                <w:bCs/>
                <w:color w:val="524B48"/>
                <w:sz w:val="32"/>
                <w:szCs w:val="32"/>
                <w:u w:val="none"/>
              </w:rPr>
              <w:t xml:space="preserve">Intellectual Property </w:t>
            </w:r>
            <w:r>
              <w:rPr>
                <w:rStyle w:val="Hyperlink"/>
                <w:rFonts w:ascii="Arial" w:hAnsi="Arial" w:cs="Arial"/>
                <w:b/>
                <w:bCs/>
                <w:color w:val="524B48"/>
                <w:sz w:val="32"/>
                <w:szCs w:val="32"/>
                <w:u w:val="none"/>
              </w:rPr>
              <w:t>or</w:t>
            </w:r>
          </w:p>
          <w:p w:rsidR="00ED17AE" w:rsidRDefault="00ED17AE" w:rsidP="00190D48">
            <w:pPr>
              <w:jc w:val="center"/>
              <w:rPr>
                <w:rStyle w:val="Hyperlink"/>
                <w:rFonts w:ascii="Arial" w:hAnsi="Arial" w:cs="Arial"/>
                <w:b/>
                <w:bCs/>
                <w:color w:val="524B48"/>
                <w:sz w:val="32"/>
                <w:szCs w:val="32"/>
                <w:u w:val="none"/>
              </w:rPr>
            </w:pPr>
            <w:r w:rsidRPr="004130AC">
              <w:rPr>
                <w:rStyle w:val="Hyperlink"/>
                <w:rFonts w:ascii="Arial" w:hAnsi="Arial" w:cs="Arial"/>
                <w:b/>
                <w:bCs/>
                <w:color w:val="524B48"/>
                <w:sz w:val="32"/>
                <w:szCs w:val="32"/>
                <w:u w:val="none"/>
              </w:rPr>
              <w:t>Intangible Cultural Heritage?</w:t>
            </w:r>
          </w:p>
          <w:p w:rsidR="00ED17AE" w:rsidRPr="00C65AFD" w:rsidRDefault="00ED17AE" w:rsidP="00190D4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D17AE" w:rsidRPr="00C65AFD" w:rsidRDefault="00ED17AE" w:rsidP="00190D48">
            <w:pPr>
              <w:jc w:val="center"/>
              <w:rPr>
                <w:rFonts w:ascii="Arial" w:hAnsi="Arial" w:cs="Arial"/>
                <w:i/>
                <w:color w:val="6C6361"/>
                <w:sz w:val="24"/>
                <w:szCs w:val="24"/>
              </w:rPr>
            </w:pPr>
            <w:r w:rsidRPr="00C65AFD">
              <w:rPr>
                <w:rFonts w:ascii="Arial" w:hAnsi="Arial" w:cs="Arial"/>
                <w:i/>
                <w:color w:val="6C6361"/>
                <w:sz w:val="24"/>
                <w:szCs w:val="24"/>
              </w:rPr>
              <w:t>by</w:t>
            </w:r>
          </w:p>
          <w:p w:rsidR="00ED17AE" w:rsidRDefault="00ED17AE" w:rsidP="00190D4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ED17AE" w:rsidRDefault="00ED17AE" w:rsidP="00190D48">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ED17AE" w:rsidRDefault="00ED17AE" w:rsidP="00190D4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ED17AE" w:rsidRDefault="00ED17AE" w:rsidP="00190D48">
            <w:pPr>
              <w:jc w:val="center"/>
              <w:rPr>
                <w:rFonts w:ascii="Arial" w:hAnsi="Arial" w:cs="Arial"/>
                <w:color w:val="6C6361"/>
                <w:sz w:val="24"/>
                <w:szCs w:val="24"/>
              </w:rPr>
            </w:pPr>
            <w:r>
              <w:rPr>
                <w:rFonts w:ascii="Arial" w:hAnsi="Arial" w:cs="Arial"/>
                <w:color w:val="6C6361"/>
                <w:sz w:val="24"/>
                <w:szCs w:val="24"/>
              </w:rPr>
              <w:t>The Faculty of Law,</w:t>
            </w:r>
          </w:p>
          <w:p w:rsidR="00ED17AE" w:rsidRPr="007E02E6" w:rsidRDefault="00ED17AE" w:rsidP="00190D4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ED17AE" w:rsidRPr="00D87ECF" w:rsidRDefault="00ED17AE" w:rsidP="00190D48">
            <w:pPr>
              <w:jc w:val="center"/>
              <w:rPr>
                <w:rFonts w:ascii="Arial" w:hAnsi="Arial" w:cs="Arial"/>
                <w:color w:val="6C6361"/>
                <w:sz w:val="8"/>
                <w:szCs w:val="8"/>
              </w:rPr>
            </w:pPr>
          </w:p>
        </w:tc>
        <w:tc>
          <w:tcPr>
            <w:tcW w:w="5976" w:type="dxa"/>
            <w:shd w:val="clear" w:color="auto" w:fill="FFFFFF"/>
            <w:vAlign w:val="center"/>
          </w:tcPr>
          <w:p w:rsidR="00ED17AE" w:rsidRPr="00D50772" w:rsidRDefault="00ED17AE" w:rsidP="00190D48">
            <w:pPr>
              <w:spacing w:line="276" w:lineRule="auto"/>
              <w:rPr>
                <w:rFonts w:ascii="Arial" w:eastAsia="Times New Roman" w:hAnsi="Arial" w:cs="Arial"/>
                <w:noProof/>
                <w:sz w:val="20"/>
                <w:szCs w:val="20"/>
              </w:rPr>
            </w:pPr>
            <w:r w:rsidRPr="00B4103E">
              <w:rPr>
                <w:rFonts w:ascii="Arial" w:eastAsia="Times New Roman" w:hAnsi="Arial" w:cs="Arial"/>
                <w:noProof/>
                <w:sz w:val="20"/>
                <w:szCs w:val="20"/>
              </w:rPr>
              <w:drawing>
                <wp:anchor distT="0" distB="0" distL="114300" distR="114300" simplePos="0" relativeHeight="251659264" behindDoc="0" locked="0" layoutInCell="1" allowOverlap="1" wp14:anchorId="6EF6B106" wp14:editId="08F22081">
                  <wp:simplePos x="0" y="0"/>
                  <wp:positionH relativeFrom="column">
                    <wp:posOffset>3172460</wp:posOffset>
                  </wp:positionH>
                  <wp:positionV relativeFrom="paragraph">
                    <wp:posOffset>-305435</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BD5A8F0" wp14:editId="5EBEE23E">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ED17AE" w:rsidRPr="00FC1F91" w:rsidRDefault="00ED17AE" w:rsidP="00ED17AE">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D17AE" w:rsidRPr="000F3FFC" w:rsidTr="00190D48">
        <w:trPr>
          <w:trHeight w:val="2767"/>
          <w:jc w:val="center"/>
        </w:trPr>
        <w:tc>
          <w:tcPr>
            <w:tcW w:w="1985" w:type="dxa"/>
            <w:shd w:val="clear" w:color="auto" w:fill="FFFFFF"/>
            <w:vAlign w:val="center"/>
          </w:tcPr>
          <w:p w:rsidR="00ED17AE" w:rsidRPr="000F3FFC" w:rsidRDefault="00ED17AE" w:rsidP="00ED17AE">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BFA434E" wp14:editId="2AF4FEEC">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D17AE" w:rsidRPr="00CB44CF" w:rsidRDefault="00ED17AE" w:rsidP="00ED17AE">
            <w:pPr>
              <w:pStyle w:val="NormalWeb"/>
              <w:spacing w:before="0" w:beforeAutospacing="0" w:after="0" w:afterAutospacing="0"/>
              <w:jc w:val="both"/>
              <w:rPr>
                <w:rFonts w:ascii="Arial" w:hAnsi="Arial" w:cs="Arial"/>
                <w:color w:val="6C6361"/>
                <w:sz w:val="22"/>
                <w:szCs w:val="21"/>
              </w:rPr>
            </w:pPr>
            <w:r w:rsidRPr="00CB44CF">
              <w:rPr>
                <w:rFonts w:ascii="Arial" w:hAnsi="Arial" w:cs="Arial"/>
                <w:color w:val="6C6361"/>
                <w:sz w:val="22"/>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CB44CF">
              <w:rPr>
                <w:rFonts w:ascii="Arial" w:hAnsi="Arial" w:cs="Arial"/>
                <w:color w:val="6C6361"/>
                <w:sz w:val="22"/>
                <w:szCs w:val="21"/>
              </w:rPr>
              <w:t>programme</w:t>
            </w:r>
            <w:proofErr w:type="spellEnd"/>
            <w:r w:rsidRPr="00CB44CF">
              <w:rPr>
                <w:rFonts w:ascii="Arial" w:hAnsi="Arial" w:cs="Arial"/>
                <w:color w:val="6C6361"/>
                <w:sz w:val="22"/>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ED17AE" w:rsidRPr="00FC1F91" w:rsidRDefault="00ED17AE" w:rsidP="00ED17AE">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D17AE" w:rsidRPr="00FC1F91" w:rsidTr="00190D48">
        <w:trPr>
          <w:trHeight w:val="5404"/>
          <w:jc w:val="center"/>
        </w:trPr>
        <w:tc>
          <w:tcPr>
            <w:tcW w:w="10773" w:type="dxa"/>
            <w:tcBorders>
              <w:top w:val="nil"/>
              <w:bottom w:val="nil"/>
            </w:tcBorders>
            <w:shd w:val="clear" w:color="auto" w:fill="FFFFFF" w:themeFill="background1"/>
            <w:vAlign w:val="center"/>
          </w:tcPr>
          <w:p w:rsidR="00ED17AE" w:rsidRDefault="00ED17AE" w:rsidP="00190D48">
            <w:pPr>
              <w:spacing w:line="276" w:lineRule="auto"/>
              <w:rPr>
                <w:rFonts w:ascii="Arial" w:hAnsi="Arial" w:cs="Arial"/>
                <w:color w:val="6C6361"/>
                <w:szCs w:val="18"/>
              </w:rPr>
            </w:pPr>
            <w:r w:rsidRPr="00FC1F91">
              <w:rPr>
                <w:rFonts w:ascii="Arial" w:hAnsi="Arial" w:cs="Arial"/>
                <w:color w:val="6C6361"/>
                <w:szCs w:val="18"/>
              </w:rPr>
              <w:t>This 3-hour seminar will provide an introduction to the interplay between intellectual property (IP) and intangible cultural heritage (ICH).  UNESCO’s 2003 Convention for the Safeguarding of the Intangible Cultural Heritage identified intangible cultural heritage as,</w:t>
            </w:r>
            <w:r w:rsidRPr="00FC1F91">
              <w:rPr>
                <w:rFonts w:ascii="Arial" w:hAnsi="Arial" w:cs="Arial" w:hint="eastAsia"/>
                <w:color w:val="6C6361"/>
                <w:szCs w:val="18"/>
              </w:rPr>
              <w:t xml:space="preserve"> </w:t>
            </w:r>
            <w:r w:rsidRPr="00FC1F91">
              <w:rPr>
                <w:rFonts w:ascii="Arial" w:hAnsi="Arial" w:cs="Arial"/>
                <w:color w:val="6C6361"/>
                <w:szCs w:val="18"/>
              </w:rPr>
              <w:t>“the practices, representations, expressions, knowledge, skills... that communities, groups and, in some cases, individuals recognize as part of their cultural heritage.”  China, as a party, and Hong Kong, through China, have embraced the ideals of the Convention, in particular the “safeguarding” obligation of membership, which includes “the identification, documentation, research, preservation, protection, promotion, enhancement, transmission... as well as the revitalization of the various aspects of such heritage.”</w:t>
            </w:r>
          </w:p>
          <w:p w:rsidR="00ED17AE" w:rsidRPr="00F55E04" w:rsidRDefault="00ED17AE" w:rsidP="00190D48">
            <w:pPr>
              <w:spacing w:line="276" w:lineRule="auto"/>
              <w:rPr>
                <w:rFonts w:ascii="Arial" w:hAnsi="Arial" w:cs="Arial"/>
                <w:color w:val="6C6361"/>
                <w:sz w:val="10"/>
                <w:szCs w:val="10"/>
              </w:rPr>
            </w:pPr>
          </w:p>
          <w:p w:rsidR="00ED17AE" w:rsidRDefault="00ED17AE" w:rsidP="00190D48">
            <w:pPr>
              <w:spacing w:line="276" w:lineRule="auto"/>
              <w:rPr>
                <w:rFonts w:ascii="Arial" w:hAnsi="Arial" w:cs="Arial"/>
                <w:color w:val="6C6361"/>
                <w:szCs w:val="18"/>
              </w:rPr>
            </w:pPr>
            <w:r w:rsidRPr="00FC1F91">
              <w:rPr>
                <w:rFonts w:ascii="Arial" w:hAnsi="Arial" w:cs="Arial"/>
                <w:color w:val="6C6361"/>
                <w:szCs w:val="18"/>
              </w:rPr>
              <w:t xml:space="preserve">However, included in the identification of the intangible cultural heritage, among much else, may be works of art in any form, the skills of the artist, foods and drinks, and the recipes and manufacturing skills behind these foods and drinks, traditional remedies, cosmetics, and the style, design, pattern and skills used in the making of clothes.  Many of these forms of intangible cultural heritage may also be </w:t>
            </w:r>
            <w:proofErr w:type="spellStart"/>
            <w:r w:rsidRPr="00FC1F91">
              <w:rPr>
                <w:rFonts w:ascii="Arial" w:hAnsi="Arial" w:cs="Arial"/>
                <w:color w:val="6C6361"/>
                <w:szCs w:val="18"/>
              </w:rPr>
              <w:t>recognised</w:t>
            </w:r>
            <w:proofErr w:type="spellEnd"/>
            <w:r w:rsidRPr="00FC1F91">
              <w:rPr>
                <w:rFonts w:ascii="Arial" w:hAnsi="Arial" w:cs="Arial"/>
                <w:color w:val="6C6361"/>
                <w:szCs w:val="18"/>
              </w:rPr>
              <w:t xml:space="preserve"> as </w:t>
            </w:r>
            <w:r>
              <w:rPr>
                <w:rFonts w:ascii="Arial" w:hAnsi="Arial" w:cs="Arial"/>
                <w:color w:val="6C6361"/>
                <w:szCs w:val="18"/>
              </w:rPr>
              <w:t>forms of intellectual property.</w:t>
            </w:r>
          </w:p>
          <w:p w:rsidR="00ED17AE" w:rsidRPr="00F55E04" w:rsidRDefault="00ED17AE" w:rsidP="00190D48">
            <w:pPr>
              <w:spacing w:line="276" w:lineRule="auto"/>
              <w:rPr>
                <w:rFonts w:ascii="Arial" w:hAnsi="Arial" w:cs="Arial"/>
                <w:color w:val="6C6361"/>
                <w:sz w:val="10"/>
                <w:szCs w:val="10"/>
              </w:rPr>
            </w:pPr>
          </w:p>
          <w:p w:rsidR="00ED17AE" w:rsidRPr="00FC1F91" w:rsidRDefault="00ED17AE" w:rsidP="00190D48">
            <w:pPr>
              <w:spacing w:line="276" w:lineRule="auto"/>
              <w:rPr>
                <w:rFonts w:ascii="Arial" w:hAnsi="Arial" w:cs="Arial"/>
                <w:color w:val="6C6361"/>
                <w:szCs w:val="18"/>
              </w:rPr>
            </w:pPr>
            <w:r w:rsidRPr="00FC1F91">
              <w:rPr>
                <w:rFonts w:ascii="Arial" w:hAnsi="Arial" w:cs="Arial"/>
                <w:color w:val="6C6361"/>
                <w:szCs w:val="18"/>
              </w:rPr>
              <w:t>This seminar considers the problems that have arisen when those asserting the need for a jurisdiction to safeguard intangible culture heritage, under one of the newest international and domestic legal frameworks, have met when this identification threatens intellectual property rights, under a very well established international and domestic framework.</w:t>
            </w:r>
          </w:p>
        </w:tc>
      </w:tr>
    </w:tbl>
    <w:p w:rsidR="00ED17AE" w:rsidRDefault="00ED17AE" w:rsidP="00ED17AE">
      <w:pPr>
        <w:spacing w:line="276" w:lineRule="auto"/>
        <w:rPr>
          <w:rFonts w:ascii="Arial" w:hAnsi="Arial" w:cs="Arial"/>
          <w:sz w:val="20"/>
          <w:szCs w:val="18"/>
        </w:rPr>
      </w:pPr>
    </w:p>
    <w:p w:rsidR="00ED17AE" w:rsidRDefault="00ED17AE" w:rsidP="00ED17AE">
      <w:pPr>
        <w:spacing w:line="276" w:lineRule="auto"/>
        <w:rPr>
          <w:rFonts w:ascii="Arial" w:hAnsi="Arial" w:cs="Arial"/>
          <w:sz w:val="20"/>
          <w:szCs w:val="18"/>
        </w:rPr>
      </w:pPr>
    </w:p>
    <w:p w:rsidR="00ED17AE" w:rsidRDefault="00ED17AE" w:rsidP="00ED17AE">
      <w:pPr>
        <w:spacing w:line="276" w:lineRule="auto"/>
        <w:rPr>
          <w:rFonts w:ascii="Arial" w:hAnsi="Arial" w:cs="Arial"/>
          <w:sz w:val="20"/>
          <w:szCs w:val="18"/>
        </w:rPr>
      </w:pPr>
    </w:p>
    <w:p w:rsidR="00ED17AE" w:rsidRDefault="00ED17AE" w:rsidP="00ED17AE">
      <w:pPr>
        <w:spacing w:line="276" w:lineRule="auto"/>
        <w:rPr>
          <w:rFonts w:ascii="Arial" w:hAnsi="Arial" w:cs="Arial"/>
          <w:sz w:val="20"/>
          <w:szCs w:val="18"/>
        </w:rPr>
      </w:pPr>
    </w:p>
    <w:p w:rsidR="00ED17AE" w:rsidRDefault="00ED17AE" w:rsidP="00ED17AE">
      <w:pPr>
        <w:spacing w:line="276" w:lineRule="auto"/>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ED17AE" w:rsidRPr="00FC1F91" w:rsidTr="00190D48">
        <w:trPr>
          <w:trHeight w:val="397"/>
          <w:jc w:val="center"/>
        </w:trPr>
        <w:tc>
          <w:tcPr>
            <w:tcW w:w="10773" w:type="dxa"/>
            <w:gridSpan w:val="2"/>
            <w:tcBorders>
              <w:top w:val="nil"/>
              <w:bottom w:val="nil"/>
            </w:tcBorders>
            <w:shd w:val="clear" w:color="auto" w:fill="F0EBE1"/>
            <w:vAlign w:val="center"/>
          </w:tcPr>
          <w:p w:rsidR="00ED17AE" w:rsidRPr="00FC1F91" w:rsidRDefault="00ED17AE" w:rsidP="00190D48">
            <w:pPr>
              <w:spacing w:line="276" w:lineRule="auto"/>
              <w:jc w:val="left"/>
              <w:rPr>
                <w:rFonts w:ascii="Arial" w:hAnsi="Arial" w:cs="Arial"/>
                <w:b/>
                <w:color w:val="524B48"/>
                <w:szCs w:val="18"/>
              </w:rPr>
            </w:pPr>
            <w:r w:rsidRPr="00FC1F91">
              <w:rPr>
                <w:rFonts w:ascii="Arial" w:hAnsi="Arial" w:cs="Arial"/>
                <w:b/>
                <w:color w:val="524B48"/>
                <w:szCs w:val="18"/>
              </w:rPr>
              <w:lastRenderedPageBreak/>
              <w:t>Some of the topics considered in this seminar will be:</w:t>
            </w:r>
          </w:p>
        </w:tc>
      </w:tr>
      <w:tr w:rsidR="00ED17AE" w:rsidRPr="00FC1F91" w:rsidTr="00190D48">
        <w:trPr>
          <w:trHeight w:val="3705"/>
          <w:jc w:val="center"/>
        </w:trPr>
        <w:tc>
          <w:tcPr>
            <w:tcW w:w="9072" w:type="dxa"/>
            <w:tcBorders>
              <w:top w:val="nil"/>
              <w:bottom w:val="nil"/>
              <w:right w:val="nil"/>
            </w:tcBorders>
            <w:shd w:val="clear" w:color="auto" w:fill="FFFFFF" w:themeFill="background1"/>
            <w:vAlign w:val="center"/>
          </w:tcPr>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What is intellectual property?</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What is intangible cultural heritage?</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The relationship between IP and ICH;</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Why is ICH so popular?</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Why is IP so important?</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Traditional remedies and medical practices;</w:t>
            </w:r>
          </w:p>
          <w:p w:rsidR="00ED17AE"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Indigenous knowledge and big business;</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 xml:space="preserve">World Heritage status for Prosecco, but who cares about </w:t>
            </w:r>
            <w:proofErr w:type="spellStart"/>
            <w:r w:rsidRPr="00FC1F91">
              <w:rPr>
                <w:rFonts w:ascii="Arial" w:hAnsi="Arial" w:cs="Arial"/>
                <w:color w:val="6C6361"/>
                <w:szCs w:val="18"/>
              </w:rPr>
              <w:t>Prošek</w:t>
            </w:r>
            <w:proofErr w:type="spellEnd"/>
            <w:r w:rsidRPr="00FC1F91">
              <w:rPr>
                <w:rFonts w:ascii="Arial" w:hAnsi="Arial" w:cs="Arial"/>
                <w:color w:val="6C6361"/>
                <w:szCs w:val="18"/>
              </w:rPr>
              <w:t>?</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Works of art as cultural heritage and artists’ rights;</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Appreciating artists’ work while infringing their rights;</w:t>
            </w:r>
          </w:p>
          <w:p w:rsidR="00ED17AE"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Language, sharks’ fins and ivory carving;</w:t>
            </w:r>
          </w:p>
          <w:p w:rsidR="00ED17AE" w:rsidRPr="00FC1F91" w:rsidRDefault="00ED17AE" w:rsidP="00190D48">
            <w:pPr>
              <w:pStyle w:val="ListParagraph"/>
              <w:numPr>
                <w:ilvl w:val="0"/>
                <w:numId w:val="2"/>
              </w:numPr>
              <w:spacing w:line="276" w:lineRule="auto"/>
              <w:jc w:val="left"/>
              <w:rPr>
                <w:rFonts w:ascii="Arial" w:hAnsi="Arial" w:cs="Arial"/>
                <w:color w:val="6C6361"/>
                <w:szCs w:val="18"/>
              </w:rPr>
            </w:pPr>
            <w:r w:rsidRPr="00FC1F91">
              <w:rPr>
                <w:rFonts w:ascii="Arial" w:hAnsi="Arial" w:cs="Arial"/>
                <w:color w:val="6C6361"/>
                <w:szCs w:val="18"/>
              </w:rPr>
              <w:t>Cultural appreciation and/or cultural appropriation.</w:t>
            </w:r>
          </w:p>
        </w:tc>
        <w:tc>
          <w:tcPr>
            <w:tcW w:w="1701" w:type="dxa"/>
            <w:tcBorders>
              <w:top w:val="nil"/>
              <w:left w:val="nil"/>
              <w:bottom w:val="nil"/>
            </w:tcBorders>
            <w:shd w:val="clear" w:color="auto" w:fill="FFFFFF" w:themeFill="background1"/>
            <w:vAlign w:val="center"/>
          </w:tcPr>
          <w:p w:rsidR="00ED17AE" w:rsidRDefault="00ED17AE" w:rsidP="00190D48">
            <w:pPr>
              <w:spacing w:line="276" w:lineRule="auto"/>
              <w:jc w:val="center"/>
              <w:rPr>
                <w:rFonts w:ascii="Arial" w:hAnsi="Arial" w:cs="Arial"/>
                <w:color w:val="6C6361"/>
                <w:szCs w:val="18"/>
              </w:rPr>
            </w:pPr>
          </w:p>
          <w:p w:rsidR="00ED17AE" w:rsidRDefault="00ED17AE" w:rsidP="00190D48">
            <w:pPr>
              <w:spacing w:line="276" w:lineRule="auto"/>
              <w:jc w:val="center"/>
              <w:rPr>
                <w:rFonts w:ascii="Arial" w:hAnsi="Arial" w:cs="Arial"/>
                <w:color w:val="6C6361"/>
                <w:szCs w:val="18"/>
              </w:rPr>
            </w:pPr>
          </w:p>
          <w:p w:rsidR="00ED17AE" w:rsidRDefault="00ED17AE" w:rsidP="00190D48">
            <w:pPr>
              <w:spacing w:line="276" w:lineRule="auto"/>
              <w:jc w:val="center"/>
              <w:rPr>
                <w:rFonts w:ascii="Arial" w:hAnsi="Arial" w:cs="Arial"/>
                <w:color w:val="6C6361"/>
                <w:szCs w:val="18"/>
              </w:rPr>
            </w:pPr>
          </w:p>
          <w:p w:rsidR="00ED17AE" w:rsidRDefault="00ED17AE" w:rsidP="00190D48">
            <w:pPr>
              <w:spacing w:line="276" w:lineRule="auto"/>
              <w:jc w:val="center"/>
              <w:rPr>
                <w:rFonts w:ascii="Arial" w:hAnsi="Arial" w:cs="Arial"/>
                <w:color w:val="6C6361"/>
                <w:szCs w:val="18"/>
              </w:rPr>
            </w:pPr>
          </w:p>
          <w:p w:rsidR="00ED17AE" w:rsidRDefault="00ED17AE" w:rsidP="00190D48">
            <w:pPr>
              <w:spacing w:line="276" w:lineRule="auto"/>
              <w:jc w:val="center"/>
              <w:rPr>
                <w:rFonts w:ascii="Arial" w:hAnsi="Arial" w:cs="Arial"/>
                <w:color w:val="6C6361"/>
                <w:szCs w:val="18"/>
              </w:rPr>
            </w:pPr>
          </w:p>
          <w:p w:rsidR="00ED17AE" w:rsidRDefault="00ED17AE" w:rsidP="00190D48">
            <w:pPr>
              <w:spacing w:line="276" w:lineRule="auto"/>
              <w:jc w:val="center"/>
              <w:rPr>
                <w:rFonts w:ascii="Arial" w:hAnsi="Arial" w:cs="Arial"/>
                <w:color w:val="6C6361"/>
                <w:szCs w:val="18"/>
              </w:rPr>
            </w:pPr>
          </w:p>
          <w:p w:rsidR="00ED17AE" w:rsidRPr="00FC1F91" w:rsidRDefault="00ED17AE" w:rsidP="00190D48">
            <w:pPr>
              <w:spacing w:line="276" w:lineRule="auto"/>
              <w:jc w:val="center"/>
              <w:rPr>
                <w:rFonts w:ascii="Arial" w:hAnsi="Arial" w:cs="Arial"/>
                <w:color w:val="6C6361"/>
                <w:szCs w:val="18"/>
              </w:rPr>
            </w:pPr>
            <w:r w:rsidRPr="00FC1F91">
              <w:rPr>
                <w:rFonts w:ascii="Arial" w:hAnsi="Arial" w:cs="Arial"/>
                <w:noProof/>
                <w:color w:val="6C6361"/>
                <w:szCs w:val="18"/>
              </w:rPr>
              <w:drawing>
                <wp:inline distT="0" distB="0" distL="0" distR="0" wp14:anchorId="13E479AE" wp14:editId="3F1CC8CD">
                  <wp:extent cx="892800" cy="102240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F37A44" w:rsidRPr="00ED17AE" w:rsidRDefault="00F37A44" w:rsidP="00680C81">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ED17AE" w:rsidRPr="00320F79" w:rsidTr="00ED17AE">
        <w:trPr>
          <w:trHeight w:val="397"/>
          <w:jc w:val="center"/>
        </w:trPr>
        <w:tc>
          <w:tcPr>
            <w:tcW w:w="1701" w:type="dxa"/>
            <w:tcBorders>
              <w:top w:val="nil"/>
              <w:left w:val="nil"/>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EVT000000289</w:t>
            </w:r>
          </w:p>
        </w:tc>
        <w:tc>
          <w:tcPr>
            <w:tcW w:w="1701" w:type="dxa"/>
            <w:tcBorders>
              <w:top w:val="nil"/>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D17AE" w:rsidRPr="00320F79" w:rsidTr="00ED17AE">
        <w:trPr>
          <w:trHeight w:val="397"/>
          <w:jc w:val="center"/>
        </w:trPr>
        <w:tc>
          <w:tcPr>
            <w:tcW w:w="1701" w:type="dxa"/>
            <w:tcBorders>
              <w:top w:val="single" w:sz="12" w:space="0" w:color="FFFFFF"/>
              <w:left w:val="nil"/>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26 September 2019 (Thursday)</w:t>
            </w:r>
          </w:p>
        </w:tc>
        <w:tc>
          <w:tcPr>
            <w:tcW w:w="1701" w:type="dxa"/>
            <w:tcBorders>
              <w:top w:val="single" w:sz="12" w:space="0" w:color="FFFFFF"/>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D17AE" w:rsidRPr="00320F79" w:rsidTr="00ED17AE">
        <w:trPr>
          <w:trHeight w:val="397"/>
          <w:jc w:val="center"/>
        </w:trPr>
        <w:tc>
          <w:tcPr>
            <w:tcW w:w="1701" w:type="dxa"/>
            <w:tcBorders>
              <w:top w:val="single" w:sz="12" w:space="0" w:color="FFFFFF"/>
              <w:left w:val="nil"/>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D17AE" w:rsidRPr="00320F79"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D17AE" w:rsidRPr="00E843DA" w:rsidRDefault="00ED17AE" w:rsidP="00ED1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680C81" w:rsidRPr="00320F79" w:rsidTr="00ED17AE">
        <w:trPr>
          <w:trHeight w:val="39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AD7" w:rsidRDefault="00390AD7" w:rsidP="00546556">
      <w:r>
        <w:separator/>
      </w:r>
    </w:p>
  </w:endnote>
  <w:endnote w:type="continuationSeparator" w:id="0">
    <w:p w:rsidR="00390AD7" w:rsidRDefault="00390AD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AD7" w:rsidRDefault="00390AD7" w:rsidP="00546556">
      <w:r>
        <w:separator/>
      </w:r>
    </w:p>
  </w:footnote>
  <w:footnote w:type="continuationSeparator" w:id="0">
    <w:p w:rsidR="00390AD7" w:rsidRDefault="00390AD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oGjmHETEhXBNxwCvKyRHGHBaMceTAUo6iaAfpV5O2KhZ4vReYnURG8W9t/a7/9eS9Bhf9XxHSAWYtyPzlgDpdA==" w:salt="nZLD86z+5nDjolBUWt6Hr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8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F345D-3C7A-4D1A-86AF-F07923A6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Fakes, Theft, Money Laundering and Fraud: Art, Antiquities and Crime</vt:lpstr>
    </vt:vector>
  </TitlesOfParts>
  <Manager>Tyrone Tsang</Manager>
  <Company>The Profectional Company Limited</Company>
  <LinksUpToDate>false</LinksUpToDate>
  <CharactersWithSpaces>3841</CharactersWithSpaces>
  <SharedDoc>false</SharedDoc>
  <HyperlinkBase>http://download.profectional.com/events/EVT000000289.docx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Medicine, Wine, Art, Traditional Skills and Cultural Appropriation: Intellectual Property or Intangible Cultural Heritage?</dc:title>
  <dc:subject>CPD Course: Medicine, Wine, Art, Traditional Skills and Cultural Appropriation: Intellectual Property or Intangible Cultural Heritage?</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41</cp:revision>
  <cp:lastPrinted>2019-09-26T02:33:00Z</cp:lastPrinted>
  <dcterms:created xsi:type="dcterms:W3CDTF">2017-01-12T02:41:00Z</dcterms:created>
  <dcterms:modified xsi:type="dcterms:W3CDTF">2019-09-26T02:33:00Z</dcterms:modified>
</cp:coreProperties>
</file>