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71A" w:rsidRPr="00BF271A" w:rsidRDefault="00BF271A" w:rsidP="00BF271A">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BF271A" w:rsidRPr="00523A64" w:rsidTr="00E53B6A">
        <w:trPr>
          <w:trHeight w:val="3119"/>
          <w:jc w:val="center"/>
        </w:trPr>
        <w:tc>
          <w:tcPr>
            <w:tcW w:w="4820" w:type="dxa"/>
            <w:shd w:val="clear" w:color="auto" w:fill="FFFFFF"/>
            <w:vAlign w:val="center"/>
          </w:tcPr>
          <w:p w:rsidR="00BF271A" w:rsidRPr="008259A9" w:rsidRDefault="00BF271A" w:rsidP="00E53B6A">
            <w:pPr>
              <w:jc w:val="center"/>
              <w:rPr>
                <w:rFonts w:ascii="Arial" w:hAnsi="Arial" w:cs="Arial"/>
                <w:b/>
                <w:bCs/>
                <w:color w:val="524B48"/>
                <w:sz w:val="4"/>
                <w:szCs w:val="4"/>
              </w:rPr>
            </w:pPr>
          </w:p>
          <w:p w:rsidR="00BF271A" w:rsidRDefault="00BF271A" w:rsidP="00E53B6A">
            <w:pPr>
              <w:jc w:val="center"/>
              <w:rPr>
                <w:rStyle w:val="Hyperlink"/>
                <w:rFonts w:ascii="Arial" w:hAnsi="Arial" w:cs="Arial"/>
                <w:b/>
                <w:bCs/>
                <w:color w:val="524B48"/>
                <w:sz w:val="32"/>
                <w:szCs w:val="32"/>
                <w:u w:val="none"/>
              </w:rPr>
            </w:pPr>
            <w:r>
              <w:fldChar w:fldCharType="begin"/>
            </w:r>
            <w:r>
              <w:instrText>HYPERLINK "http://cpd.hk/evt000000300/"</w:instrText>
            </w:r>
            <w:r>
              <w:fldChar w:fldCharType="separate"/>
            </w:r>
            <w:r>
              <w:rPr>
                <w:rStyle w:val="Hyperlink"/>
                <w:rFonts w:ascii="Arial" w:hAnsi="Arial" w:cs="Arial"/>
                <w:b/>
                <w:bCs/>
                <w:color w:val="524B48"/>
                <w:sz w:val="32"/>
                <w:szCs w:val="32"/>
                <w:u w:val="none"/>
              </w:rPr>
              <w:t>Law, Practice</w:t>
            </w:r>
          </w:p>
          <w:p w:rsidR="00BF271A" w:rsidRDefault="00BF271A" w:rsidP="00E53B6A">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Practical Tips</w:t>
            </w:r>
          </w:p>
          <w:p w:rsidR="00BF271A" w:rsidRDefault="00BF271A" w:rsidP="00E53B6A">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Disciplinary</w:t>
            </w:r>
          </w:p>
          <w:p w:rsidR="00BF271A" w:rsidRDefault="00BF271A" w:rsidP="00E53B6A">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Proceedings of</w:t>
            </w:r>
          </w:p>
          <w:p w:rsidR="00BF271A" w:rsidRPr="00032DE4" w:rsidRDefault="00BF271A" w:rsidP="00E53B6A">
            <w:pPr>
              <w:jc w:val="center"/>
              <w:rPr>
                <w:rFonts w:ascii="Arial" w:hAnsi="Arial" w:cs="Arial"/>
                <w:b/>
                <w:bCs/>
                <w:color w:val="524B48"/>
                <w:sz w:val="32"/>
                <w:szCs w:val="32"/>
              </w:rPr>
            </w:pPr>
            <w:r w:rsidRPr="005C533B">
              <w:rPr>
                <w:rStyle w:val="Hyperlink"/>
                <w:rFonts w:ascii="Arial" w:hAnsi="Arial" w:cs="Arial"/>
                <w:b/>
                <w:bCs/>
                <w:color w:val="524B48"/>
                <w:sz w:val="32"/>
                <w:szCs w:val="32"/>
                <w:u w:val="none"/>
              </w:rPr>
              <w:t>Insurance Agents</w:t>
            </w:r>
            <w:r>
              <w:rPr>
                <w:rStyle w:val="Hyperlink"/>
                <w:rFonts w:ascii="Arial" w:hAnsi="Arial" w:cs="Arial"/>
                <w:b/>
                <w:bCs/>
                <w:color w:val="524B48"/>
                <w:sz w:val="32"/>
                <w:szCs w:val="32"/>
                <w:u w:val="none"/>
              </w:rPr>
              <w:fldChar w:fldCharType="end"/>
            </w:r>
          </w:p>
          <w:p w:rsidR="00BF271A" w:rsidRPr="00731F7F" w:rsidRDefault="00BF271A" w:rsidP="00E53B6A">
            <w:pPr>
              <w:jc w:val="center"/>
              <w:rPr>
                <w:rFonts w:ascii="Arial" w:hAnsi="Arial" w:cs="Arial"/>
                <w:b/>
                <w:bCs/>
                <w:sz w:val="24"/>
                <w:szCs w:val="28"/>
              </w:rPr>
            </w:pPr>
          </w:p>
          <w:p w:rsidR="00BF271A" w:rsidRPr="009D67FA" w:rsidRDefault="00BF271A" w:rsidP="00E53B6A">
            <w:pPr>
              <w:jc w:val="center"/>
              <w:rPr>
                <w:rFonts w:ascii="Arial" w:hAnsi="Arial" w:cs="Arial"/>
                <w:i/>
                <w:color w:val="6C6361"/>
                <w:sz w:val="24"/>
                <w:szCs w:val="24"/>
              </w:rPr>
            </w:pPr>
            <w:r w:rsidRPr="009D67FA">
              <w:rPr>
                <w:rFonts w:ascii="Arial" w:hAnsi="Arial" w:cs="Arial"/>
                <w:i/>
                <w:color w:val="6C6361"/>
                <w:sz w:val="24"/>
                <w:szCs w:val="24"/>
              </w:rPr>
              <w:t>by</w:t>
            </w:r>
          </w:p>
          <w:p w:rsidR="00BF271A" w:rsidRDefault="00BF271A" w:rsidP="00E53B6A">
            <w:pPr>
              <w:spacing w:line="276" w:lineRule="auto"/>
              <w:jc w:val="center"/>
              <w:rPr>
                <w:rFonts w:ascii="Arial" w:hAnsi="Arial" w:cs="Arial"/>
                <w:color w:val="6C6361"/>
                <w:sz w:val="24"/>
                <w:szCs w:val="24"/>
              </w:rPr>
            </w:pPr>
            <w:hyperlink r:id="rId8" w:history="1">
              <w:r>
                <w:rPr>
                  <w:rStyle w:val="Hyperlink"/>
                  <w:rFonts w:ascii="Arial" w:hAnsi="Arial" w:cs="Arial"/>
                  <w:color w:val="6C6361"/>
                  <w:sz w:val="24"/>
                  <w:szCs w:val="24"/>
                  <w:u w:val="none"/>
                </w:rPr>
                <w:t>M</w:t>
              </w:r>
              <w:r w:rsidRPr="00032DE4">
                <w:rPr>
                  <w:rStyle w:val="Hyperlink"/>
                  <w:rFonts w:ascii="Arial" w:hAnsi="Arial" w:cs="Arial"/>
                  <w:color w:val="6C6361"/>
                  <w:sz w:val="24"/>
                  <w:szCs w:val="24"/>
                  <w:u w:val="none"/>
                </w:rPr>
                <w:t xml:space="preserve">r. </w:t>
              </w:r>
              <w:proofErr w:type="spellStart"/>
              <w:r>
                <w:rPr>
                  <w:rStyle w:val="Hyperlink"/>
                  <w:rFonts w:ascii="Arial" w:hAnsi="Arial" w:cs="Arial"/>
                  <w:color w:val="6C6361"/>
                  <w:sz w:val="24"/>
                  <w:szCs w:val="24"/>
                  <w:u w:val="none"/>
                </w:rPr>
                <w:t>Dicky</w:t>
              </w:r>
              <w:proofErr w:type="spellEnd"/>
              <w:r>
                <w:rPr>
                  <w:rStyle w:val="Hyperlink"/>
                  <w:rFonts w:ascii="Arial" w:hAnsi="Arial" w:cs="Arial"/>
                  <w:color w:val="6C6361"/>
                  <w:sz w:val="24"/>
                  <w:szCs w:val="24"/>
                  <w:u w:val="none"/>
                </w:rPr>
                <w:t xml:space="preserve"> Cheung</w:t>
              </w:r>
            </w:hyperlink>
            <w:r>
              <w:rPr>
                <w:rFonts w:ascii="Arial" w:hAnsi="Arial" w:cs="Arial"/>
                <w:color w:val="6C6361"/>
                <w:sz w:val="24"/>
                <w:szCs w:val="24"/>
              </w:rPr>
              <w:t>,</w:t>
            </w:r>
          </w:p>
          <w:p w:rsidR="00BF271A" w:rsidRDefault="00BF271A" w:rsidP="00E53B6A">
            <w:pPr>
              <w:jc w:val="center"/>
              <w:rPr>
                <w:rFonts w:ascii="Arial" w:hAnsi="Arial" w:cs="Arial"/>
                <w:color w:val="6C6361"/>
                <w:sz w:val="24"/>
                <w:szCs w:val="24"/>
              </w:rPr>
            </w:pPr>
            <w:r>
              <w:rPr>
                <w:rFonts w:ascii="Arial" w:hAnsi="Arial" w:cs="Arial"/>
                <w:color w:val="6C6361"/>
                <w:sz w:val="24"/>
                <w:szCs w:val="24"/>
              </w:rPr>
              <w:t>Barrister, Garden Chambers</w:t>
            </w:r>
          </w:p>
          <w:p w:rsidR="00BF271A" w:rsidRPr="00CD13F5" w:rsidRDefault="00BF271A" w:rsidP="00E53B6A">
            <w:pPr>
              <w:rPr>
                <w:rFonts w:ascii="Arial" w:hAnsi="Arial" w:cs="Arial"/>
                <w:color w:val="6C6361"/>
                <w:sz w:val="4"/>
                <w:szCs w:val="4"/>
              </w:rPr>
            </w:pPr>
          </w:p>
        </w:tc>
        <w:tc>
          <w:tcPr>
            <w:tcW w:w="5954" w:type="dxa"/>
            <w:shd w:val="clear" w:color="auto" w:fill="FFFFFF"/>
            <w:vAlign w:val="center"/>
          </w:tcPr>
          <w:p w:rsidR="00BF271A" w:rsidRPr="00D50772" w:rsidRDefault="00BF271A" w:rsidP="00E53B6A">
            <w:pPr>
              <w:spacing w:line="276" w:lineRule="auto"/>
              <w:rPr>
                <w:rFonts w:ascii="Arial" w:eastAsia="Times New Roman" w:hAnsi="Arial" w:cs="Arial"/>
                <w:noProof/>
                <w:sz w:val="20"/>
                <w:szCs w:val="20"/>
              </w:rPr>
            </w:pPr>
            <w:r w:rsidRPr="00F16B82">
              <w:rPr>
                <w:rFonts w:ascii="Arial" w:eastAsia="Times New Roman" w:hAnsi="Arial" w:cs="Arial"/>
                <w:noProof/>
                <w:sz w:val="20"/>
                <w:szCs w:val="20"/>
              </w:rPr>
              <w:drawing>
                <wp:anchor distT="0" distB="0" distL="114300" distR="114300" simplePos="0" relativeHeight="251659264" behindDoc="0" locked="0" layoutInCell="1" allowOverlap="1" wp14:anchorId="1EBCC95E" wp14:editId="4B85D67E">
                  <wp:simplePos x="0" y="0"/>
                  <wp:positionH relativeFrom="column">
                    <wp:posOffset>3181985</wp:posOffset>
                  </wp:positionH>
                  <wp:positionV relativeFrom="paragraph">
                    <wp:posOffset>-59055</wp:posOffset>
                  </wp:positionV>
                  <wp:extent cx="532765" cy="546735"/>
                  <wp:effectExtent l="0" t="0" r="635" b="5715"/>
                  <wp:wrapNone/>
                  <wp:docPr id="12" name="Picture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765"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68827437" wp14:editId="6FB15704">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BF271A" w:rsidRPr="00F26BAF" w:rsidRDefault="00BF271A" w:rsidP="00BF271A">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BF271A" w:rsidRPr="00644690" w:rsidTr="00E53B6A">
        <w:trPr>
          <w:trHeight w:val="3468"/>
          <w:jc w:val="center"/>
        </w:trPr>
        <w:tc>
          <w:tcPr>
            <w:tcW w:w="1985" w:type="dxa"/>
            <w:shd w:val="clear" w:color="auto" w:fill="FFFFFF"/>
            <w:vAlign w:val="center"/>
          </w:tcPr>
          <w:p w:rsidR="00BF271A" w:rsidRPr="00644690" w:rsidRDefault="00BF271A" w:rsidP="00E53B6A">
            <w:pPr>
              <w:spacing w:line="276" w:lineRule="auto"/>
              <w:jc w:val="center"/>
              <w:rPr>
                <w:rFonts w:ascii="Arial" w:hAnsi="Arial" w:cs="Arial"/>
              </w:rPr>
            </w:pPr>
            <w:r w:rsidRPr="00644690">
              <w:rPr>
                <w:rFonts w:ascii="Arial" w:hAnsi="Arial" w:cs="Arial"/>
                <w:noProof/>
              </w:rPr>
              <w:drawing>
                <wp:inline distT="0" distB="0" distL="0" distR="0" wp14:anchorId="01642A05" wp14:editId="7AACB524">
                  <wp:extent cx="1078704" cy="1438273"/>
                  <wp:effectExtent l="0" t="0" r="7620" b="0"/>
                  <wp:docPr id="3"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4"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rsidR="00BF271A" w:rsidRPr="00644690" w:rsidRDefault="00BF271A" w:rsidP="00E53B6A">
            <w:pPr>
              <w:rPr>
                <w:rFonts w:ascii="Arial" w:hAnsi="Arial" w:cs="Arial"/>
                <w:color w:val="6C6361"/>
                <w:szCs w:val="21"/>
              </w:rPr>
            </w:pPr>
            <w:r w:rsidRPr="00644690">
              <w:rPr>
                <w:rFonts w:ascii="Arial" w:hAnsi="Arial" w:cs="Arial"/>
                <w:color w:val="6C6361"/>
                <w:szCs w:val="21"/>
              </w:rPr>
              <w:t xml:space="preserve">Mr. </w:t>
            </w:r>
            <w:proofErr w:type="spellStart"/>
            <w:r w:rsidRPr="00644690">
              <w:rPr>
                <w:rFonts w:ascii="Arial" w:hAnsi="Arial" w:cs="Arial"/>
                <w:color w:val="6C6361"/>
                <w:szCs w:val="21"/>
              </w:rPr>
              <w:t>Dicky</w:t>
            </w:r>
            <w:proofErr w:type="spellEnd"/>
            <w:r w:rsidRPr="00644690">
              <w:rPr>
                <w:rFonts w:ascii="Arial" w:hAnsi="Arial" w:cs="Arial"/>
                <w:color w:val="6C6361"/>
                <w:szCs w:val="21"/>
              </w:rPr>
              <w:t xml:space="preserve"> Cheung read law at the University of Hong Kong and was called to the bar in 2017.  He joined Garden Chambers in the following year.</w:t>
            </w:r>
          </w:p>
          <w:p w:rsidR="00BF271A" w:rsidRPr="00644690" w:rsidRDefault="00BF271A" w:rsidP="00E53B6A">
            <w:pPr>
              <w:rPr>
                <w:rFonts w:ascii="Arial" w:hAnsi="Arial" w:cs="Arial"/>
                <w:color w:val="6C6361"/>
                <w:sz w:val="10"/>
                <w:szCs w:val="10"/>
              </w:rPr>
            </w:pPr>
          </w:p>
          <w:p w:rsidR="00BF271A" w:rsidRPr="00644690" w:rsidRDefault="00BF271A" w:rsidP="00E53B6A">
            <w:pPr>
              <w:rPr>
                <w:rFonts w:ascii="Arial" w:hAnsi="Arial" w:cs="Arial"/>
                <w:color w:val="6C6361"/>
                <w:szCs w:val="21"/>
              </w:rPr>
            </w:pPr>
            <w:r w:rsidRPr="00644690">
              <w:rPr>
                <w:rFonts w:ascii="Arial" w:hAnsi="Arial" w:cs="Arial"/>
                <w:color w:val="6C6361"/>
                <w:szCs w:val="21"/>
              </w:rPr>
              <w:t>His practice is focused on commercial, company and contractual litigation.  He has represented listed companies, state-owned banks (overseas and PRC), and high net worth individuals in handling complex commercial, corporate and civil litigation with securities, trusts and probate at issues, involving overseas parties and complicated transactions.</w:t>
            </w:r>
          </w:p>
          <w:p w:rsidR="00BF271A" w:rsidRPr="00644690" w:rsidRDefault="00BF271A" w:rsidP="00E53B6A">
            <w:pPr>
              <w:rPr>
                <w:rFonts w:ascii="Arial" w:hAnsi="Arial" w:cs="Arial"/>
                <w:color w:val="6C6361"/>
                <w:sz w:val="10"/>
                <w:szCs w:val="10"/>
              </w:rPr>
            </w:pPr>
          </w:p>
          <w:p w:rsidR="00BF271A" w:rsidRPr="00644690" w:rsidRDefault="00BF271A" w:rsidP="00E53B6A">
            <w:pPr>
              <w:rPr>
                <w:rFonts w:ascii="Arial" w:hAnsi="Arial" w:cs="Arial"/>
                <w:color w:val="6C6361"/>
                <w:szCs w:val="21"/>
              </w:rPr>
            </w:pPr>
            <w:proofErr w:type="spellStart"/>
            <w:r w:rsidRPr="00644690">
              <w:rPr>
                <w:rFonts w:ascii="Arial" w:hAnsi="Arial" w:cs="Arial"/>
                <w:color w:val="6C6361"/>
                <w:szCs w:val="21"/>
              </w:rPr>
              <w:t>Dicky</w:t>
            </w:r>
            <w:proofErr w:type="spellEnd"/>
            <w:r w:rsidRPr="00644690">
              <w:rPr>
                <w:rFonts w:ascii="Arial" w:hAnsi="Arial" w:cs="Arial"/>
                <w:color w:val="6C6361"/>
                <w:szCs w:val="21"/>
              </w:rPr>
              <w:t xml:space="preserve"> also frequently represents professionals, including insurance agents, estate agents, optometrists etc., in disciplinary proceedings, and their appeal and judicial review proceedings.</w:t>
            </w:r>
          </w:p>
          <w:p w:rsidR="00BF271A" w:rsidRPr="00644690" w:rsidRDefault="00BF271A" w:rsidP="00E53B6A">
            <w:pPr>
              <w:rPr>
                <w:rFonts w:ascii="Arial" w:hAnsi="Arial" w:cs="Arial"/>
                <w:color w:val="6C6361"/>
                <w:sz w:val="10"/>
                <w:szCs w:val="10"/>
              </w:rPr>
            </w:pPr>
          </w:p>
          <w:p w:rsidR="00BF271A" w:rsidRPr="00644690" w:rsidRDefault="00BF271A" w:rsidP="00E53B6A">
            <w:pPr>
              <w:rPr>
                <w:rFonts w:ascii="Arial" w:hAnsi="Arial" w:cs="Arial"/>
                <w:color w:val="6C6361"/>
                <w:szCs w:val="21"/>
              </w:rPr>
            </w:pPr>
            <w:proofErr w:type="spellStart"/>
            <w:r w:rsidRPr="00644690">
              <w:rPr>
                <w:rFonts w:ascii="Arial" w:hAnsi="Arial" w:cs="Arial"/>
                <w:color w:val="6C6361"/>
                <w:szCs w:val="21"/>
              </w:rPr>
              <w:t>Dicky</w:t>
            </w:r>
            <w:proofErr w:type="spellEnd"/>
            <w:r w:rsidRPr="00644690">
              <w:rPr>
                <w:rFonts w:ascii="Arial" w:hAnsi="Arial" w:cs="Arial"/>
                <w:color w:val="6C6361"/>
                <w:szCs w:val="21"/>
              </w:rPr>
              <w:t xml:space="preserve"> is fluent in Putonghua and regularly handles PRC-related cases and parties.</w:t>
            </w:r>
          </w:p>
        </w:tc>
      </w:tr>
    </w:tbl>
    <w:p w:rsidR="00BF271A" w:rsidRDefault="00BF271A" w:rsidP="00BF271A">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BF271A" w:rsidRPr="00644690" w:rsidTr="00E53B6A">
        <w:trPr>
          <w:trHeight w:val="6398"/>
          <w:jc w:val="center"/>
        </w:trPr>
        <w:tc>
          <w:tcPr>
            <w:tcW w:w="10773" w:type="dxa"/>
            <w:tcBorders>
              <w:top w:val="nil"/>
              <w:bottom w:val="nil"/>
            </w:tcBorders>
            <w:shd w:val="clear" w:color="auto" w:fill="FFFFFF" w:themeFill="background1"/>
            <w:vAlign w:val="center"/>
          </w:tcPr>
          <w:p w:rsidR="00BF271A" w:rsidRPr="00644690" w:rsidRDefault="00BF271A" w:rsidP="00E53B6A">
            <w:pPr>
              <w:spacing w:line="276" w:lineRule="auto"/>
              <w:rPr>
                <w:rFonts w:ascii="Arial" w:hAnsi="Arial" w:cs="Arial"/>
                <w:color w:val="6C6361"/>
              </w:rPr>
            </w:pPr>
            <w:r w:rsidRPr="00644690">
              <w:rPr>
                <w:rFonts w:ascii="Arial" w:hAnsi="Arial" w:cs="Arial"/>
                <w:color w:val="6C6361"/>
              </w:rPr>
              <w:t>“</w:t>
            </w:r>
            <w:r>
              <w:rPr>
                <w:rFonts w:ascii="Arial" w:hAnsi="Arial" w:cs="Arial"/>
                <w:color w:val="6C6361"/>
              </w:rPr>
              <w:t>[I]</w:t>
            </w:r>
            <w:r w:rsidRPr="00644690">
              <w:rPr>
                <w:rFonts w:ascii="Arial" w:hAnsi="Arial" w:cs="Arial"/>
                <w:color w:val="6C6361"/>
              </w:rPr>
              <w:t xml:space="preserve">t may be still possible to say that, although the local authority have kept within the four corners of the matters which they ought to consider, they have nevertheless come to a conclusion so unreasonable that no reasonable authority could ever have come to it. </w:t>
            </w:r>
            <w:r>
              <w:rPr>
                <w:rFonts w:ascii="Arial" w:hAnsi="Arial" w:cs="Arial"/>
                <w:color w:val="6C6361"/>
              </w:rPr>
              <w:t xml:space="preserve"> </w:t>
            </w:r>
            <w:r w:rsidRPr="00644690">
              <w:rPr>
                <w:rFonts w:ascii="Arial" w:hAnsi="Arial" w:cs="Arial"/>
                <w:color w:val="6C6361"/>
              </w:rPr>
              <w:t xml:space="preserve">In such a case, again, I think the court can interfere”, </w:t>
            </w:r>
            <w:r w:rsidRPr="00644690">
              <w:rPr>
                <w:rFonts w:ascii="Arial" w:hAnsi="Arial" w:cs="Arial"/>
                <w:i/>
                <w:color w:val="6C6361"/>
              </w:rPr>
              <w:t>Associated P</w:t>
            </w:r>
            <w:r>
              <w:rPr>
                <w:rFonts w:ascii="Arial" w:hAnsi="Arial" w:cs="Arial"/>
                <w:i/>
                <w:color w:val="6C6361"/>
              </w:rPr>
              <w:t>rovincial Picture Houses Ltd. v</w:t>
            </w:r>
            <w:r w:rsidRPr="00644690">
              <w:rPr>
                <w:rFonts w:ascii="Arial" w:hAnsi="Arial" w:cs="Arial"/>
                <w:i/>
                <w:color w:val="6C6361"/>
              </w:rPr>
              <w:t xml:space="preserve"> </w:t>
            </w:r>
            <w:proofErr w:type="spellStart"/>
            <w:r w:rsidRPr="00644690">
              <w:rPr>
                <w:rFonts w:ascii="Arial" w:hAnsi="Arial" w:cs="Arial"/>
                <w:i/>
                <w:color w:val="6C6361"/>
              </w:rPr>
              <w:t>Wednesbury</w:t>
            </w:r>
            <w:proofErr w:type="spellEnd"/>
            <w:r w:rsidRPr="00644690">
              <w:rPr>
                <w:rFonts w:ascii="Arial" w:hAnsi="Arial" w:cs="Arial"/>
                <w:i/>
                <w:color w:val="6C6361"/>
              </w:rPr>
              <w:t xml:space="preserve"> Corporation</w:t>
            </w:r>
            <w:r w:rsidRPr="00644690">
              <w:rPr>
                <w:rFonts w:ascii="Arial" w:hAnsi="Arial" w:cs="Arial"/>
                <w:color w:val="6C6361"/>
              </w:rPr>
              <w:t xml:space="preserve"> [1948]</w:t>
            </w:r>
            <w:r>
              <w:rPr>
                <w:rFonts w:ascii="Arial" w:hAnsi="Arial" w:cs="Arial"/>
                <w:color w:val="6C6361"/>
              </w:rPr>
              <w:t xml:space="preserve"> </w:t>
            </w:r>
            <w:r w:rsidRPr="00644690">
              <w:rPr>
                <w:rFonts w:ascii="Arial" w:hAnsi="Arial" w:cs="Arial"/>
                <w:color w:val="6C6361"/>
              </w:rPr>
              <w:t>1 KB 223, 233</w:t>
            </w:r>
          </w:p>
          <w:p w:rsidR="00BF271A" w:rsidRPr="00644690" w:rsidRDefault="00BF271A" w:rsidP="00E53B6A">
            <w:pPr>
              <w:spacing w:line="276" w:lineRule="auto"/>
              <w:rPr>
                <w:rFonts w:ascii="Arial" w:hAnsi="Arial" w:cs="Arial"/>
                <w:color w:val="6C6361"/>
                <w:sz w:val="10"/>
                <w:szCs w:val="10"/>
              </w:rPr>
            </w:pPr>
          </w:p>
          <w:p w:rsidR="00BF271A" w:rsidRPr="00644690" w:rsidRDefault="00BF271A" w:rsidP="00E53B6A">
            <w:pPr>
              <w:spacing w:line="276" w:lineRule="auto"/>
              <w:rPr>
                <w:rFonts w:ascii="Arial" w:hAnsi="Arial" w:cs="Arial"/>
                <w:color w:val="6C6361"/>
              </w:rPr>
            </w:pPr>
            <w:r w:rsidRPr="00644690">
              <w:rPr>
                <w:rFonts w:ascii="Arial" w:hAnsi="Arial" w:cs="Arial"/>
                <w:color w:val="6C6361"/>
              </w:rPr>
              <w:t>Professional life in Hong Kong is heavily regulated.  Rightly so, the increased awareness of clients on their rights against professionals presents new challenge to doctors, accountants, engineers, insurance agents alike.</w:t>
            </w:r>
          </w:p>
          <w:p w:rsidR="00BF271A" w:rsidRPr="00644690" w:rsidRDefault="00BF271A" w:rsidP="00E53B6A">
            <w:pPr>
              <w:spacing w:line="276" w:lineRule="auto"/>
              <w:rPr>
                <w:rFonts w:ascii="Arial" w:hAnsi="Arial" w:cs="Arial"/>
                <w:color w:val="6C6361"/>
                <w:sz w:val="10"/>
                <w:szCs w:val="10"/>
              </w:rPr>
            </w:pPr>
          </w:p>
          <w:p w:rsidR="00BF271A" w:rsidRPr="00644690" w:rsidRDefault="00BF271A" w:rsidP="00E53B6A">
            <w:pPr>
              <w:spacing w:line="276" w:lineRule="auto"/>
              <w:rPr>
                <w:rFonts w:ascii="Arial" w:hAnsi="Arial" w:cs="Arial"/>
                <w:color w:val="6C6361"/>
              </w:rPr>
            </w:pPr>
            <w:r w:rsidRPr="00644690">
              <w:rPr>
                <w:rFonts w:ascii="Arial" w:hAnsi="Arial" w:cs="Arial"/>
                <w:color w:val="6C6361"/>
              </w:rPr>
              <w:t xml:space="preserve">Disciplinary proceedings against professionals are often extremely distressing with one’s livelihood and reputation at stake.  They deserve rigorous and principled advocacy and </w:t>
            </w:r>
            <w:proofErr w:type="spellStart"/>
            <w:r w:rsidRPr="00644690">
              <w:rPr>
                <w:rFonts w:ascii="Arial" w:hAnsi="Arial" w:cs="Arial"/>
                <w:color w:val="6C6361"/>
              </w:rPr>
              <w:t>defence</w:t>
            </w:r>
            <w:proofErr w:type="spellEnd"/>
            <w:r w:rsidRPr="00644690">
              <w:rPr>
                <w:rFonts w:ascii="Arial" w:hAnsi="Arial" w:cs="Arial"/>
                <w:color w:val="6C6361"/>
              </w:rPr>
              <w:t xml:space="preserve"> to ensure one’s fundamental human right to a fair hearing is protected.</w:t>
            </w:r>
          </w:p>
          <w:p w:rsidR="00BF271A" w:rsidRPr="00644690" w:rsidRDefault="00BF271A" w:rsidP="00E53B6A">
            <w:pPr>
              <w:spacing w:line="276" w:lineRule="auto"/>
              <w:rPr>
                <w:rFonts w:ascii="Arial" w:hAnsi="Arial" w:cs="Arial"/>
                <w:color w:val="6C6361"/>
                <w:sz w:val="10"/>
                <w:szCs w:val="10"/>
              </w:rPr>
            </w:pPr>
          </w:p>
          <w:p w:rsidR="00BF271A" w:rsidRPr="008E5ADD" w:rsidRDefault="00BF271A" w:rsidP="00E53B6A">
            <w:pPr>
              <w:spacing w:line="276" w:lineRule="auto"/>
              <w:rPr>
                <w:rFonts w:ascii="Arial" w:hAnsi="Arial" w:cs="Arial"/>
                <w:color w:val="6C6361"/>
              </w:rPr>
            </w:pPr>
            <w:r w:rsidRPr="008E5ADD">
              <w:rPr>
                <w:rFonts w:ascii="Arial" w:hAnsi="Arial" w:cs="Arial"/>
                <w:color w:val="6C6361"/>
              </w:rPr>
              <w:t xml:space="preserve">For the first time in recent 14 years, an insurance agent, represented by the Speaker of this CPD Course as counsel, has successfully applied to quash the decisions of the relevant disciplinary boards below in a judicial review case of </w:t>
            </w:r>
            <w:r w:rsidRPr="008E5ADD">
              <w:rPr>
                <w:rFonts w:ascii="Arial" w:hAnsi="Arial" w:cs="Arial"/>
                <w:i/>
                <w:color w:val="6C6361"/>
              </w:rPr>
              <w:t xml:space="preserve">Wei </w:t>
            </w:r>
            <w:proofErr w:type="spellStart"/>
            <w:r w:rsidRPr="008E5ADD">
              <w:rPr>
                <w:rFonts w:ascii="Arial" w:hAnsi="Arial" w:cs="Arial"/>
                <w:i/>
                <w:color w:val="6C6361"/>
              </w:rPr>
              <w:t>Linghui</w:t>
            </w:r>
            <w:proofErr w:type="spellEnd"/>
            <w:r w:rsidRPr="008E5ADD">
              <w:rPr>
                <w:rFonts w:ascii="Arial" w:hAnsi="Arial" w:cs="Arial"/>
                <w:i/>
                <w:color w:val="6C6361"/>
              </w:rPr>
              <w:t xml:space="preserve"> v Hong Kong Federation of Insurers Insurance Agents Registration Board </w:t>
            </w:r>
            <w:r w:rsidRPr="008E5ADD">
              <w:rPr>
                <w:rFonts w:ascii="Arial" w:hAnsi="Arial" w:cs="Arial"/>
                <w:color w:val="6C6361"/>
              </w:rPr>
              <w:t xml:space="preserve">[2019] </w:t>
            </w:r>
            <w:r>
              <w:rPr>
                <w:rFonts w:ascii="Arial" w:hAnsi="Arial" w:cs="Arial"/>
                <w:color w:val="6C6361"/>
              </w:rPr>
              <w:t>4 HKLRD 387</w:t>
            </w:r>
            <w:r w:rsidRPr="008E5ADD">
              <w:rPr>
                <w:rFonts w:ascii="Arial" w:hAnsi="Arial" w:cs="Arial"/>
                <w:color w:val="6C6361"/>
              </w:rPr>
              <w:t>, on both:</w:t>
            </w:r>
          </w:p>
          <w:p w:rsidR="00BF271A" w:rsidRPr="00644690" w:rsidRDefault="00BF271A" w:rsidP="00E53B6A">
            <w:pPr>
              <w:spacing w:line="276" w:lineRule="auto"/>
              <w:rPr>
                <w:rFonts w:ascii="Arial" w:hAnsi="Arial" w:cs="Arial"/>
                <w:color w:val="6C6361"/>
                <w:sz w:val="10"/>
                <w:szCs w:val="10"/>
              </w:rPr>
            </w:pPr>
          </w:p>
          <w:p w:rsidR="00BF271A" w:rsidRPr="00644690" w:rsidRDefault="00BF271A" w:rsidP="00BF271A">
            <w:pPr>
              <w:pStyle w:val="ListParagraph"/>
              <w:numPr>
                <w:ilvl w:val="0"/>
                <w:numId w:val="17"/>
              </w:numPr>
              <w:spacing w:line="276" w:lineRule="auto"/>
              <w:rPr>
                <w:rFonts w:ascii="Arial" w:hAnsi="Arial" w:cs="Arial"/>
                <w:color w:val="6C6361"/>
              </w:rPr>
            </w:pPr>
            <w:r w:rsidRPr="00644690">
              <w:rPr>
                <w:rFonts w:ascii="Arial" w:hAnsi="Arial" w:cs="Arial"/>
                <w:color w:val="6C6361"/>
              </w:rPr>
              <w:t>the substantive ground that decisions below were unreasonab</w:t>
            </w:r>
            <w:r>
              <w:rPr>
                <w:rFonts w:ascii="Arial" w:hAnsi="Arial" w:cs="Arial"/>
                <w:color w:val="6C6361"/>
              </w:rPr>
              <w:t>le in the public law sense; and</w:t>
            </w:r>
          </w:p>
          <w:p w:rsidR="00BF271A" w:rsidRPr="00644690" w:rsidRDefault="00BF271A" w:rsidP="00BF271A">
            <w:pPr>
              <w:pStyle w:val="ListParagraph"/>
              <w:numPr>
                <w:ilvl w:val="0"/>
                <w:numId w:val="17"/>
              </w:numPr>
              <w:spacing w:line="276" w:lineRule="auto"/>
              <w:rPr>
                <w:rFonts w:ascii="Arial" w:hAnsi="Arial" w:cs="Arial"/>
                <w:color w:val="6C6361"/>
              </w:rPr>
            </w:pPr>
            <w:proofErr w:type="gramStart"/>
            <w:r w:rsidRPr="00644690">
              <w:rPr>
                <w:rFonts w:ascii="Arial" w:hAnsi="Arial" w:cs="Arial"/>
                <w:color w:val="6C6361"/>
              </w:rPr>
              <w:t>the</w:t>
            </w:r>
            <w:proofErr w:type="gramEnd"/>
            <w:r w:rsidRPr="00644690">
              <w:rPr>
                <w:rFonts w:ascii="Arial" w:hAnsi="Arial" w:cs="Arial"/>
                <w:color w:val="6C6361"/>
              </w:rPr>
              <w:t xml:space="preserve"> procedural ground that there was procedural impropriety of failing to give adequate reasons.</w:t>
            </w:r>
          </w:p>
          <w:p w:rsidR="00BF271A" w:rsidRPr="00644690" w:rsidRDefault="00BF271A" w:rsidP="00E53B6A">
            <w:pPr>
              <w:spacing w:line="276" w:lineRule="auto"/>
              <w:rPr>
                <w:rFonts w:ascii="Arial" w:hAnsi="Arial" w:cs="Arial"/>
                <w:color w:val="6C6361"/>
                <w:sz w:val="10"/>
                <w:szCs w:val="10"/>
              </w:rPr>
            </w:pPr>
          </w:p>
          <w:p w:rsidR="00BF271A" w:rsidRPr="00644690" w:rsidRDefault="00BF271A" w:rsidP="00E53B6A">
            <w:pPr>
              <w:spacing w:line="276" w:lineRule="auto"/>
              <w:rPr>
                <w:rFonts w:ascii="Arial" w:hAnsi="Arial" w:cs="Arial"/>
                <w:color w:val="6C6361"/>
              </w:rPr>
            </w:pPr>
            <w:r w:rsidRPr="00644690">
              <w:rPr>
                <w:rFonts w:ascii="Arial" w:hAnsi="Arial" w:cs="Arial"/>
                <w:color w:val="6C6361"/>
              </w:rPr>
              <w:t xml:space="preserve">This case sheds new light </w:t>
            </w:r>
            <w:r>
              <w:rPr>
                <w:rFonts w:ascii="Arial" w:hAnsi="Arial" w:cs="Arial"/>
                <w:color w:val="6C6361"/>
              </w:rPr>
              <w:t xml:space="preserve">on </w:t>
            </w:r>
            <w:r w:rsidRPr="00644690">
              <w:rPr>
                <w:rFonts w:ascii="Arial" w:hAnsi="Arial" w:cs="Arial"/>
                <w:color w:val="6C6361"/>
              </w:rPr>
              <w:t>disciplinary proceedings in the insurance industry in which over 70,000 insurance agents are subject to the regulation of relevant disciplinary boards and over 1,000 complaint</w:t>
            </w:r>
            <w:r>
              <w:rPr>
                <w:rFonts w:ascii="Arial" w:hAnsi="Arial" w:cs="Arial"/>
                <w:color w:val="6C6361"/>
              </w:rPr>
              <w:t xml:space="preserve"> cases are processed annually.</w:t>
            </w:r>
          </w:p>
        </w:tc>
      </w:tr>
    </w:tbl>
    <w:p w:rsidR="00BF271A" w:rsidRDefault="00BF271A" w:rsidP="00BF271A">
      <w:pPr>
        <w:spacing w:line="276" w:lineRule="auto"/>
        <w:jc w:val="left"/>
        <w:rPr>
          <w:rFonts w:ascii="Arial" w:hAnsi="Arial" w:cs="Arial"/>
          <w:sz w:val="20"/>
        </w:rPr>
      </w:pPr>
    </w:p>
    <w:p w:rsidR="00BF271A" w:rsidRDefault="00BF271A" w:rsidP="00BF271A">
      <w:pPr>
        <w:spacing w:line="276" w:lineRule="auto"/>
        <w:jc w:val="left"/>
        <w:rPr>
          <w:rFonts w:ascii="Arial" w:hAnsi="Arial" w:cs="Arial"/>
          <w:sz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BF271A" w:rsidRPr="00644690" w:rsidTr="00E53B6A">
        <w:trPr>
          <w:trHeight w:val="851"/>
          <w:jc w:val="center"/>
        </w:trPr>
        <w:tc>
          <w:tcPr>
            <w:tcW w:w="10773" w:type="dxa"/>
            <w:tcBorders>
              <w:top w:val="nil"/>
              <w:bottom w:val="nil"/>
            </w:tcBorders>
            <w:shd w:val="clear" w:color="auto" w:fill="FFFFFF" w:themeFill="background1"/>
            <w:vAlign w:val="center"/>
          </w:tcPr>
          <w:p w:rsidR="00BF271A" w:rsidRPr="00644690" w:rsidRDefault="00BF271A" w:rsidP="00E53B6A">
            <w:pPr>
              <w:spacing w:line="276" w:lineRule="auto"/>
              <w:rPr>
                <w:rFonts w:ascii="Arial" w:hAnsi="Arial" w:cs="Arial"/>
                <w:color w:val="6C6361"/>
              </w:rPr>
            </w:pPr>
            <w:r>
              <w:rPr>
                <w:rFonts w:ascii="Arial" w:hAnsi="Arial" w:cs="Arial"/>
                <w:color w:val="6C6361"/>
              </w:rPr>
              <w:lastRenderedPageBreak/>
              <w:t>T</w:t>
            </w:r>
            <w:r w:rsidRPr="00644690">
              <w:rPr>
                <w:rFonts w:ascii="Arial" w:hAnsi="Arial" w:cs="Arial"/>
                <w:color w:val="6C6361"/>
              </w:rPr>
              <w:t>he Speaker will offer his analysis of the judgment and experience in handl</w:t>
            </w:r>
            <w:r>
              <w:rPr>
                <w:rFonts w:ascii="Arial" w:hAnsi="Arial" w:cs="Arial"/>
                <w:color w:val="6C6361"/>
              </w:rPr>
              <w:t>ing the above case and similar cases.</w:t>
            </w:r>
          </w:p>
        </w:tc>
      </w:tr>
      <w:tr w:rsidR="00BF271A" w:rsidRPr="00644690" w:rsidTr="00E53B6A">
        <w:trPr>
          <w:trHeight w:val="397"/>
          <w:jc w:val="center"/>
        </w:trPr>
        <w:tc>
          <w:tcPr>
            <w:tcW w:w="10773" w:type="dxa"/>
            <w:tcBorders>
              <w:top w:val="nil"/>
              <w:bottom w:val="nil"/>
            </w:tcBorders>
            <w:shd w:val="clear" w:color="auto" w:fill="F0EBE1"/>
            <w:vAlign w:val="center"/>
          </w:tcPr>
          <w:p w:rsidR="00BF271A" w:rsidRPr="00644690" w:rsidRDefault="00BF271A" w:rsidP="00E53B6A">
            <w:pPr>
              <w:jc w:val="left"/>
              <w:rPr>
                <w:rFonts w:ascii="Arial" w:hAnsi="Arial" w:cs="Arial"/>
                <w:b/>
                <w:color w:val="524B48"/>
                <w:szCs w:val="24"/>
              </w:rPr>
            </w:pPr>
            <w:r>
              <w:rPr>
                <w:rFonts w:ascii="Arial" w:hAnsi="Arial" w:cs="Arial"/>
                <w:b/>
                <w:color w:val="524B48"/>
              </w:rPr>
              <w:t>The c</w:t>
            </w:r>
            <w:r w:rsidRPr="00644690">
              <w:rPr>
                <w:rFonts w:ascii="Arial" w:hAnsi="Arial" w:cs="Arial"/>
                <w:b/>
                <w:color w:val="524B48"/>
              </w:rPr>
              <w:t>ourse will cover the following topics</w:t>
            </w:r>
            <w:r>
              <w:rPr>
                <w:rFonts w:ascii="Arial" w:hAnsi="Arial" w:cs="Arial"/>
                <w:b/>
                <w:color w:val="524B48"/>
              </w:rPr>
              <w:t>:</w:t>
            </w:r>
          </w:p>
        </w:tc>
      </w:tr>
      <w:tr w:rsidR="00BF271A" w:rsidRPr="00644690" w:rsidTr="00E53B6A">
        <w:trPr>
          <w:trHeight w:val="3978"/>
          <w:jc w:val="center"/>
        </w:trPr>
        <w:tc>
          <w:tcPr>
            <w:tcW w:w="10773" w:type="dxa"/>
            <w:tcBorders>
              <w:top w:val="nil"/>
              <w:bottom w:val="nil"/>
            </w:tcBorders>
            <w:shd w:val="clear" w:color="auto" w:fill="FFFFFF"/>
            <w:vAlign w:val="center"/>
          </w:tcPr>
          <w:p w:rsidR="00BF271A" w:rsidRPr="00644690" w:rsidRDefault="00BF271A" w:rsidP="00E53B6A">
            <w:pPr>
              <w:pStyle w:val="ListParagraph"/>
              <w:numPr>
                <w:ilvl w:val="0"/>
                <w:numId w:val="2"/>
              </w:numPr>
              <w:spacing w:line="276" w:lineRule="auto"/>
              <w:rPr>
                <w:rFonts w:ascii="Arial" w:hAnsi="Arial" w:cs="Arial"/>
                <w:color w:val="6C6361"/>
              </w:rPr>
            </w:pPr>
            <w:r w:rsidRPr="00644690">
              <w:rPr>
                <w:rFonts w:ascii="Arial" w:hAnsi="Arial" w:cs="Arial"/>
                <w:color w:val="6C6361"/>
              </w:rPr>
              <w:t>What are public law principles in disciplinary proceedings with the human right to fair hearing engaged?</w:t>
            </w:r>
          </w:p>
          <w:p w:rsidR="00BF271A" w:rsidRPr="00644690" w:rsidRDefault="00BF271A" w:rsidP="00E53B6A">
            <w:pPr>
              <w:pStyle w:val="ListParagraph"/>
              <w:numPr>
                <w:ilvl w:val="0"/>
                <w:numId w:val="2"/>
              </w:numPr>
              <w:spacing w:line="276" w:lineRule="auto"/>
              <w:rPr>
                <w:rFonts w:ascii="Arial" w:hAnsi="Arial" w:cs="Arial"/>
                <w:color w:val="6C6361"/>
              </w:rPr>
            </w:pPr>
            <w:r w:rsidRPr="00644690">
              <w:rPr>
                <w:rFonts w:ascii="Arial" w:hAnsi="Arial" w:cs="Arial"/>
                <w:color w:val="6C6361"/>
              </w:rPr>
              <w:t>What is the procedure of disciplinary boards and appeal and how lawyers can protect their c</w:t>
            </w:r>
            <w:r>
              <w:rPr>
                <w:rFonts w:ascii="Arial" w:hAnsi="Arial" w:cs="Arial"/>
                <w:color w:val="6C6361"/>
              </w:rPr>
              <w:t>lients’ right to fair hearing?</w:t>
            </w:r>
          </w:p>
          <w:p w:rsidR="00BF271A" w:rsidRPr="00644690" w:rsidRDefault="00BF271A" w:rsidP="00E53B6A">
            <w:pPr>
              <w:pStyle w:val="ListParagraph"/>
              <w:numPr>
                <w:ilvl w:val="0"/>
                <w:numId w:val="2"/>
              </w:numPr>
              <w:spacing w:line="276" w:lineRule="auto"/>
              <w:rPr>
                <w:rFonts w:ascii="Arial" w:hAnsi="Arial" w:cs="Arial"/>
                <w:color w:val="6C6361"/>
              </w:rPr>
            </w:pPr>
            <w:r w:rsidRPr="00644690">
              <w:rPr>
                <w:rFonts w:ascii="Arial" w:hAnsi="Arial" w:cs="Arial"/>
                <w:color w:val="6C6361"/>
              </w:rPr>
              <w:t xml:space="preserve">What are the </w:t>
            </w:r>
            <w:proofErr w:type="spellStart"/>
            <w:r w:rsidRPr="00644690">
              <w:rPr>
                <w:rFonts w:ascii="Arial" w:hAnsi="Arial" w:cs="Arial"/>
                <w:color w:val="6C6361"/>
              </w:rPr>
              <w:t>notarisation</w:t>
            </w:r>
            <w:proofErr w:type="spellEnd"/>
            <w:r w:rsidRPr="00644690">
              <w:rPr>
                <w:rFonts w:ascii="Arial" w:hAnsi="Arial" w:cs="Arial"/>
                <w:color w:val="6C6361"/>
              </w:rPr>
              <w:t xml:space="preserve"> requirements of official/academic documents in the PRC and the practical tips to note?</w:t>
            </w:r>
          </w:p>
          <w:p w:rsidR="00BF271A" w:rsidRPr="00644690" w:rsidRDefault="00BF271A" w:rsidP="00E53B6A">
            <w:pPr>
              <w:pStyle w:val="ListParagraph"/>
              <w:numPr>
                <w:ilvl w:val="0"/>
                <w:numId w:val="2"/>
              </w:numPr>
              <w:spacing w:line="276" w:lineRule="auto"/>
              <w:rPr>
                <w:rFonts w:ascii="Arial" w:hAnsi="Arial" w:cs="Arial"/>
                <w:color w:val="6C6361"/>
              </w:rPr>
            </w:pPr>
            <w:r w:rsidRPr="00644690">
              <w:rPr>
                <w:rFonts w:ascii="Arial" w:hAnsi="Arial" w:cs="Arial"/>
                <w:color w:val="6C6361"/>
              </w:rPr>
              <w:t>What does a client in disciplinary proceedings need and want? How does a lawyer take the best of instructions and prepare the discipl</w:t>
            </w:r>
            <w:r>
              <w:rPr>
                <w:rFonts w:ascii="Arial" w:hAnsi="Arial" w:cs="Arial"/>
                <w:color w:val="6C6361"/>
              </w:rPr>
              <w:t>inary proceedings accordingly?</w:t>
            </w:r>
          </w:p>
          <w:p w:rsidR="00BF271A" w:rsidRPr="00644690" w:rsidRDefault="00BF271A" w:rsidP="00E53B6A">
            <w:pPr>
              <w:pStyle w:val="ListParagraph"/>
              <w:numPr>
                <w:ilvl w:val="0"/>
                <w:numId w:val="2"/>
              </w:numPr>
              <w:spacing w:line="276" w:lineRule="auto"/>
              <w:rPr>
                <w:rFonts w:ascii="Arial" w:hAnsi="Arial" w:cs="Arial"/>
                <w:color w:val="6C6361"/>
              </w:rPr>
            </w:pPr>
            <w:r w:rsidRPr="000D687B">
              <w:rPr>
                <w:rFonts w:ascii="Arial" w:hAnsi="Arial" w:cs="Arial"/>
                <w:noProof/>
                <w:color w:val="6C6361"/>
                <w:szCs w:val="24"/>
              </w:rPr>
              <w:drawing>
                <wp:anchor distT="0" distB="0" distL="114300" distR="114300" simplePos="0" relativeHeight="251660288" behindDoc="0" locked="0" layoutInCell="1" allowOverlap="1" wp14:anchorId="4EAE102D" wp14:editId="06AF7B86">
                  <wp:simplePos x="0" y="0"/>
                  <wp:positionH relativeFrom="column">
                    <wp:posOffset>5758815</wp:posOffset>
                  </wp:positionH>
                  <wp:positionV relativeFrom="paragraph">
                    <wp:posOffset>10795</wp:posOffset>
                  </wp:positionV>
                  <wp:extent cx="892175" cy="1022350"/>
                  <wp:effectExtent l="0" t="0" r="3175"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4690">
              <w:rPr>
                <w:rFonts w:ascii="Arial" w:hAnsi="Arial" w:cs="Arial"/>
                <w:color w:val="6C6361"/>
              </w:rPr>
              <w:t>How does a lawyer apply for an interim suspension/stay of disciplinary actions? What are the practical tips on settlement negotiation with disciplinary boards?</w:t>
            </w:r>
          </w:p>
          <w:p w:rsidR="00BF271A" w:rsidRPr="00644690" w:rsidRDefault="00BF271A" w:rsidP="00E53B6A">
            <w:pPr>
              <w:pStyle w:val="ListParagraph"/>
              <w:numPr>
                <w:ilvl w:val="0"/>
                <w:numId w:val="2"/>
              </w:numPr>
              <w:spacing w:line="276" w:lineRule="auto"/>
              <w:rPr>
                <w:rFonts w:ascii="Arial" w:hAnsi="Arial" w:cs="Arial"/>
                <w:color w:val="6C6361"/>
              </w:rPr>
            </w:pPr>
            <w:r w:rsidRPr="00644690">
              <w:rPr>
                <w:rFonts w:ascii="Arial" w:hAnsi="Arial" w:cs="Arial"/>
                <w:color w:val="6C6361"/>
              </w:rPr>
              <w:t>How does a lawyer lay down the necessary grounds in preparation of potential appeal and judicial review?</w:t>
            </w:r>
          </w:p>
          <w:p w:rsidR="00BF271A" w:rsidRPr="00960448" w:rsidRDefault="00BF271A" w:rsidP="00E53B6A">
            <w:pPr>
              <w:pStyle w:val="ListParagraph"/>
              <w:numPr>
                <w:ilvl w:val="0"/>
                <w:numId w:val="2"/>
              </w:numPr>
              <w:spacing w:line="276" w:lineRule="auto"/>
              <w:rPr>
                <w:rFonts w:ascii="Arial" w:hAnsi="Arial" w:cs="Arial"/>
                <w:color w:val="6C6361"/>
              </w:rPr>
            </w:pPr>
            <w:r w:rsidRPr="00644690">
              <w:rPr>
                <w:rFonts w:ascii="Arial" w:hAnsi="Arial" w:cs="Arial"/>
                <w:color w:val="6C6361"/>
              </w:rPr>
              <w:t>How does the new transition to the regulatory regime under the Insurance Authority change the landscape?</w:t>
            </w:r>
          </w:p>
        </w:tc>
      </w:tr>
    </w:tbl>
    <w:p w:rsidR="00BF271A" w:rsidRPr="00BF271A" w:rsidRDefault="00BF271A" w:rsidP="00474066">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BF271A" w:rsidRPr="000762CF" w:rsidTr="00B84F0F">
        <w:trPr>
          <w:trHeight w:val="284"/>
          <w:jc w:val="center"/>
        </w:trPr>
        <w:tc>
          <w:tcPr>
            <w:tcW w:w="1701" w:type="dxa"/>
            <w:tcBorders>
              <w:top w:val="nil"/>
              <w:left w:val="nil"/>
              <w:bottom w:val="single" w:sz="12" w:space="0" w:color="FFFFFF"/>
            </w:tcBorders>
            <w:shd w:val="clear" w:color="auto" w:fill="F0EBE1"/>
            <w:vAlign w:val="center"/>
          </w:tcPr>
          <w:p w:rsidR="00BF271A" w:rsidRPr="002343EF" w:rsidRDefault="00BF271A" w:rsidP="00BF2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BF271A" w:rsidRPr="002343EF" w:rsidRDefault="00BF271A" w:rsidP="00BF2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EVT000000300</w:t>
            </w:r>
          </w:p>
        </w:tc>
        <w:tc>
          <w:tcPr>
            <w:tcW w:w="1701" w:type="dxa"/>
            <w:tcBorders>
              <w:top w:val="nil"/>
              <w:bottom w:val="single" w:sz="12" w:space="0" w:color="FFFFFF"/>
            </w:tcBorders>
            <w:shd w:val="clear" w:color="auto" w:fill="F0EBE1"/>
            <w:vAlign w:val="center"/>
          </w:tcPr>
          <w:p w:rsidR="00BF271A" w:rsidRPr="002343EF" w:rsidRDefault="00BF271A" w:rsidP="00BF2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BF271A" w:rsidRPr="002343EF" w:rsidRDefault="00BF271A" w:rsidP="00BF2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BF271A" w:rsidRPr="000762CF" w:rsidTr="00B84F0F">
        <w:trPr>
          <w:trHeight w:val="284"/>
          <w:jc w:val="center"/>
        </w:trPr>
        <w:tc>
          <w:tcPr>
            <w:tcW w:w="1701" w:type="dxa"/>
            <w:tcBorders>
              <w:top w:val="single" w:sz="12" w:space="0" w:color="FFFFFF"/>
              <w:left w:val="nil"/>
              <w:bottom w:val="single" w:sz="12" w:space="0" w:color="FFFFFF"/>
            </w:tcBorders>
            <w:shd w:val="clear" w:color="auto" w:fill="F0EBE1"/>
            <w:vAlign w:val="center"/>
          </w:tcPr>
          <w:p w:rsidR="00BF271A" w:rsidRPr="002343EF" w:rsidRDefault="00BF271A" w:rsidP="00BF2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BF271A" w:rsidRDefault="00BF271A" w:rsidP="00BF2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16 December 2019 (Monday)</w:t>
            </w:r>
          </w:p>
          <w:p w:rsidR="00BF271A" w:rsidRPr="006B70C1" w:rsidRDefault="00BF271A" w:rsidP="00BF2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(Amended)</w:t>
            </w:r>
          </w:p>
        </w:tc>
        <w:tc>
          <w:tcPr>
            <w:tcW w:w="1701" w:type="dxa"/>
            <w:tcBorders>
              <w:top w:val="single" w:sz="12" w:space="0" w:color="FFFFFF"/>
              <w:bottom w:val="single" w:sz="12" w:space="0" w:color="FFFFFF"/>
            </w:tcBorders>
            <w:shd w:val="clear" w:color="auto" w:fill="F0EBE1"/>
            <w:vAlign w:val="center"/>
          </w:tcPr>
          <w:p w:rsidR="00BF271A" w:rsidRPr="002343EF" w:rsidRDefault="00BF271A" w:rsidP="00BF2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BF271A" w:rsidRPr="002343EF" w:rsidRDefault="00BF271A" w:rsidP="00BF2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BF271A" w:rsidRPr="000762CF" w:rsidTr="00B84F0F">
        <w:trPr>
          <w:trHeight w:val="284"/>
          <w:jc w:val="center"/>
        </w:trPr>
        <w:tc>
          <w:tcPr>
            <w:tcW w:w="1701" w:type="dxa"/>
            <w:tcBorders>
              <w:top w:val="single" w:sz="12" w:space="0" w:color="FFFFFF"/>
              <w:left w:val="nil"/>
              <w:bottom w:val="single" w:sz="12" w:space="0" w:color="FFFFFF"/>
            </w:tcBorders>
            <w:shd w:val="clear" w:color="auto" w:fill="F0EBE1"/>
            <w:vAlign w:val="center"/>
          </w:tcPr>
          <w:p w:rsidR="00BF271A" w:rsidRPr="002343EF" w:rsidRDefault="00BF271A" w:rsidP="00BF2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BF271A" w:rsidRDefault="00BF271A" w:rsidP="00BF2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14:30 - 17:45</w:t>
            </w:r>
          </w:p>
          <w:p w:rsidR="00BF271A" w:rsidRPr="00EC7ADB" w:rsidRDefault="00BF271A" w:rsidP="00BF2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14</w:t>
            </w:r>
            <w:r w:rsidRPr="00EC7ADB">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BF271A" w:rsidRPr="002343EF" w:rsidRDefault="00BF271A" w:rsidP="00BF2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BF271A" w:rsidRDefault="00BF271A" w:rsidP="00BF2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p w:rsidR="00BF271A" w:rsidRPr="006B70C1" w:rsidRDefault="00BF271A" w:rsidP="00BF2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SFC 3.0 CPT Hours</w:t>
            </w:r>
          </w:p>
        </w:tc>
      </w:tr>
      <w:tr w:rsidR="00474066" w:rsidRPr="000762CF" w:rsidTr="00B84F0F">
        <w:trPr>
          <w:trHeight w:val="284"/>
          <w:jc w:val="center"/>
        </w:trPr>
        <w:tc>
          <w:tcPr>
            <w:tcW w:w="1701" w:type="dxa"/>
            <w:tcBorders>
              <w:top w:val="single" w:sz="12" w:space="0" w:color="FFFFFF"/>
              <w:left w:val="nil"/>
              <w:bottom w:val="nil"/>
            </w:tcBorders>
            <w:shd w:val="clear" w:color="auto" w:fill="F0EBE1"/>
            <w:vAlign w:val="center"/>
          </w:tcPr>
          <w:p w:rsidR="00474066" w:rsidRPr="000762CF"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474066" w:rsidRPr="000762CF" w:rsidRDefault="00474066" w:rsidP="006C3CB7">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0762CF">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0762CF">
              <w:rPr>
                <w:rFonts w:ascii="Arial" w:hAnsi="Arial" w:cs="Arial"/>
                <w:b/>
                <w:color w:val="6C6361"/>
                <w:sz w:val="20"/>
                <w:szCs w:val="20"/>
              </w:rPr>
              <w:fldChar w:fldCharType="separate"/>
            </w:r>
            <w:r w:rsidRPr="000762CF">
              <w:rPr>
                <w:rStyle w:val="Hyperlink"/>
                <w:rFonts w:ascii="Arial" w:hAnsi="Arial" w:cs="Arial"/>
                <w:b/>
                <w:color w:val="6C6361"/>
                <w:sz w:val="20"/>
                <w:szCs w:val="20"/>
                <w:u w:val="none"/>
              </w:rPr>
              <w:t>Kornerstone Institute</w:t>
            </w:r>
          </w:p>
          <w:p w:rsidR="00474066" w:rsidRPr="000762CF"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15/F, Hip Shing Hong Centre</w:t>
            </w:r>
          </w:p>
          <w:p w:rsidR="00474066" w:rsidRPr="000762CF"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55 Des Voeux Road Central</w:t>
            </w:r>
          </w:p>
          <w:p w:rsidR="00474066" w:rsidRPr="000762CF"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0762CF">
              <w:rPr>
                <w:rStyle w:val="Hyperlink"/>
                <w:rFonts w:ascii="Arial" w:hAnsi="Arial" w:cs="Arial"/>
                <w:color w:val="6C6361"/>
                <w:sz w:val="20"/>
                <w:szCs w:val="20"/>
                <w:u w:val="none"/>
              </w:rPr>
              <w:t>Central, Hong Kong</w:t>
            </w:r>
            <w:r w:rsidRPr="000762CF">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474066" w:rsidRPr="000762CF" w:rsidRDefault="00474066" w:rsidP="006C3CB7">
            <w:pPr>
              <w:jc w:val="right"/>
              <w:rPr>
                <w:rFonts w:ascii="Arial" w:hAnsi="Arial" w:cs="Arial"/>
                <w:b/>
                <w:color w:val="6C6361"/>
                <w:sz w:val="20"/>
                <w:szCs w:val="20"/>
              </w:rPr>
            </w:pPr>
          </w:p>
          <w:p w:rsidR="00474066" w:rsidRPr="000762CF" w:rsidRDefault="00474066" w:rsidP="006C3CB7">
            <w:pPr>
              <w:jc w:val="right"/>
              <w:rPr>
                <w:rFonts w:ascii="Arial" w:hAnsi="Arial" w:cs="Arial"/>
                <w:b/>
                <w:color w:val="6C6361"/>
                <w:sz w:val="20"/>
                <w:szCs w:val="20"/>
              </w:rPr>
            </w:pPr>
          </w:p>
          <w:p w:rsidR="00474066" w:rsidRPr="000762CF" w:rsidRDefault="00474066" w:rsidP="006C3CB7">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3843D703" wp14:editId="1D9C4D42">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474066" w:rsidRPr="000762CF" w:rsidRDefault="00474066" w:rsidP="006C3CB7">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rsidR="00474066" w:rsidRPr="00156567"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104C952D" wp14:editId="65039BAA">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C02761" w:rsidRDefault="00214BC6" w:rsidP="00474066">
      <w:pPr>
        <w:rPr>
          <w:sz w:val="2"/>
          <w:szCs w:val="2"/>
        </w:rPr>
      </w:pPr>
    </w:p>
    <w:sectPr w:rsidR="00214BC6" w:rsidRPr="00C0276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146A" w:rsidRDefault="007F146A" w:rsidP="00546556">
      <w:r>
        <w:separator/>
      </w:r>
    </w:p>
  </w:endnote>
  <w:endnote w:type="continuationSeparator" w:id="0">
    <w:p w:rsidR="007F146A" w:rsidRDefault="007F146A"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146A" w:rsidRDefault="007F146A" w:rsidP="00546556">
      <w:r>
        <w:separator/>
      </w:r>
    </w:p>
  </w:footnote>
  <w:footnote w:type="continuationSeparator" w:id="0">
    <w:p w:rsidR="007F146A" w:rsidRDefault="007F146A"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5E2749"/>
    <w:multiLevelType w:val="hybridMultilevel"/>
    <w:tmpl w:val="C6FC3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3"/>
  </w:num>
  <w:num w:numId="4">
    <w:abstractNumId w:val="2"/>
  </w:num>
  <w:num w:numId="5">
    <w:abstractNumId w:val="4"/>
  </w:num>
  <w:num w:numId="6">
    <w:abstractNumId w:val="14"/>
  </w:num>
  <w:num w:numId="7">
    <w:abstractNumId w:val="3"/>
  </w:num>
  <w:num w:numId="8">
    <w:abstractNumId w:val="15"/>
  </w:num>
  <w:num w:numId="9">
    <w:abstractNumId w:val="16"/>
  </w:num>
  <w:num w:numId="10">
    <w:abstractNumId w:val="11"/>
  </w:num>
  <w:num w:numId="11">
    <w:abstractNumId w:val="0"/>
  </w:num>
  <w:num w:numId="12">
    <w:abstractNumId w:val="8"/>
  </w:num>
  <w:num w:numId="13">
    <w:abstractNumId w:val="12"/>
  </w:num>
  <w:num w:numId="14">
    <w:abstractNumId w:val="6"/>
  </w:num>
  <w:num w:numId="15">
    <w:abstractNumId w:val="10"/>
  </w:num>
  <w:num w:numId="16">
    <w:abstractNumId w:val="1"/>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L9+ZEfx+WbvKgqQHzxn/u3dUKe58DumQ0Lc4WZbdqVkiYqHjq+hoDuwiLNJnN8diz3Bl00MJdeWzNjZKJglH5Q==" w:salt="WFBG/RZVaNlVLt/XWfyKc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6BA"/>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B89"/>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3BC4"/>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2D7D"/>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261"/>
    <w:rsid w:val="00302B25"/>
    <w:rsid w:val="00304C2A"/>
    <w:rsid w:val="00305F22"/>
    <w:rsid w:val="00306557"/>
    <w:rsid w:val="00307FC5"/>
    <w:rsid w:val="00312048"/>
    <w:rsid w:val="00312AD5"/>
    <w:rsid w:val="00314A05"/>
    <w:rsid w:val="0031523F"/>
    <w:rsid w:val="00315617"/>
    <w:rsid w:val="003158A3"/>
    <w:rsid w:val="003171FF"/>
    <w:rsid w:val="00320840"/>
    <w:rsid w:val="00320BE9"/>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C7C"/>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5743"/>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C0D"/>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4066"/>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788"/>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A1C"/>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78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A67"/>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46A"/>
    <w:rsid w:val="007F1F96"/>
    <w:rsid w:val="007F3C26"/>
    <w:rsid w:val="007F3CF1"/>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074"/>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38DB"/>
    <w:rsid w:val="008F4A0C"/>
    <w:rsid w:val="008F4CEC"/>
    <w:rsid w:val="008F4F30"/>
    <w:rsid w:val="008F51D0"/>
    <w:rsid w:val="008F60E6"/>
    <w:rsid w:val="008F6219"/>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3E1"/>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74A"/>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66F"/>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0D20"/>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26DC6"/>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68B9"/>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4F0F"/>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71A"/>
    <w:rsid w:val="00BF2D3D"/>
    <w:rsid w:val="00BF31B4"/>
    <w:rsid w:val="00BF3354"/>
    <w:rsid w:val="00BF441B"/>
    <w:rsid w:val="00BF468F"/>
    <w:rsid w:val="00BF58C7"/>
    <w:rsid w:val="00BF6E97"/>
    <w:rsid w:val="00BF7B24"/>
    <w:rsid w:val="00C00D6A"/>
    <w:rsid w:val="00C02761"/>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3DCD"/>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0CEE"/>
    <w:rsid w:val="00E310DE"/>
    <w:rsid w:val="00E31560"/>
    <w:rsid w:val="00E3187B"/>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34D"/>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211"/>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524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00/"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E3350-2415-4E55-91AA-ADEB3187F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Pages>
  <Words>623</Words>
  <Characters>3556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CPD Course: Gemmology 101 for Professionals</vt:lpstr>
    </vt:vector>
  </TitlesOfParts>
  <Manager>Tyrone Tsang</Manager>
  <Company>The Profectional Company Limited</Company>
  <LinksUpToDate>false</LinksUpToDate>
  <CharactersWithSpaces>4171</CharactersWithSpaces>
  <SharedDoc>false</SharedDoc>
  <HyperlinkBase>http://download.profectional.com/events/EVT000000300.docx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Law, Practice and Practical Tips in Disciplinary Proceedings of Insurance Agents</dc:title>
  <dc:subject>CPD Course, CPT Course: Law, Practice and Practical Tips in Disciplinary Proceedings of Insurance Agents</dc:subject>
  <dc:creator>The Profectional Company Limited</dc:creator>
  <cp:keywords>Profectional; Kornerstone; CPD; CPT; CLE; CE; RME; Dicky Cheung; Barrister; Garden Chambers</cp:keywords>
  <cp:lastModifiedBy>Tyrone Tsang</cp:lastModifiedBy>
  <cp:revision>43</cp:revision>
  <cp:lastPrinted>2019-12-14T12:35:00Z</cp:lastPrinted>
  <dcterms:created xsi:type="dcterms:W3CDTF">2015-05-28T16:24:00Z</dcterms:created>
  <dcterms:modified xsi:type="dcterms:W3CDTF">2019-12-14T12:36:00Z</dcterms:modified>
</cp:coreProperties>
</file>