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0BD" w:rsidRPr="007B50BD" w:rsidRDefault="007B50BD" w:rsidP="007B50B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B50BD" w:rsidRPr="00523A64" w:rsidTr="002A0DA5">
        <w:trPr>
          <w:trHeight w:val="3119"/>
          <w:jc w:val="center"/>
        </w:trPr>
        <w:tc>
          <w:tcPr>
            <w:tcW w:w="4820" w:type="dxa"/>
            <w:shd w:val="clear" w:color="auto" w:fill="FFFFFF"/>
            <w:vAlign w:val="center"/>
          </w:tcPr>
          <w:p w:rsidR="007B50BD" w:rsidRPr="001A3018" w:rsidRDefault="007B50BD" w:rsidP="002A0DA5">
            <w:pPr>
              <w:jc w:val="center"/>
              <w:rPr>
                <w:rFonts w:ascii="Arial" w:hAnsi="Arial" w:cs="Arial"/>
                <w:b/>
                <w:bCs/>
                <w:color w:val="524B48"/>
                <w:sz w:val="4"/>
                <w:szCs w:val="4"/>
              </w:rPr>
            </w:pPr>
          </w:p>
          <w:p w:rsidR="007B50BD" w:rsidRDefault="007B50BD" w:rsidP="002A0DA5">
            <w:pPr>
              <w:jc w:val="center"/>
              <w:rPr>
                <w:rStyle w:val="Hyperlink"/>
                <w:rFonts w:ascii="Arial" w:hAnsi="Arial" w:cs="Arial"/>
                <w:b/>
                <w:bCs/>
                <w:color w:val="524B48"/>
                <w:sz w:val="32"/>
                <w:szCs w:val="32"/>
                <w:u w:val="none"/>
              </w:rPr>
            </w:pPr>
            <w:r w:rsidRPr="00CF685C">
              <w:fldChar w:fldCharType="begin"/>
            </w:r>
            <w:r>
              <w:instrText>HYPERLINK "http://cpd.hk/evt000000303/"</w:instrText>
            </w:r>
            <w:r w:rsidRPr="00CF685C">
              <w:fldChar w:fldCharType="separate"/>
            </w:r>
            <w:r>
              <w:rPr>
                <w:rStyle w:val="Hyperlink"/>
                <w:rFonts w:ascii="Arial" w:hAnsi="Arial" w:cs="Arial"/>
                <w:b/>
                <w:bCs/>
                <w:color w:val="524B48"/>
                <w:sz w:val="32"/>
                <w:szCs w:val="32"/>
                <w:u w:val="none"/>
              </w:rPr>
              <w:t>Solicitors’ Accounts</w:t>
            </w:r>
          </w:p>
          <w:p w:rsidR="007B50BD" w:rsidRDefault="007B50BD" w:rsidP="002A0DA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Rules</w:t>
            </w:r>
          </w:p>
          <w:p w:rsidR="007B50BD" w:rsidRPr="0022173B" w:rsidRDefault="007B50BD" w:rsidP="002A0DA5">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 xml:space="preserve">through the </w:t>
            </w:r>
            <w:proofErr w:type="spellStart"/>
            <w:r w:rsidRPr="0022173B">
              <w:rPr>
                <w:rStyle w:val="Hyperlink"/>
                <w:rFonts w:ascii="Arial" w:hAnsi="Arial" w:cs="Arial"/>
                <w:b/>
                <w:bCs/>
                <w:color w:val="524B48"/>
                <w:sz w:val="32"/>
                <w:szCs w:val="32"/>
                <w:u w:val="none"/>
              </w:rPr>
              <w:t>Nasirs</w:t>
            </w:r>
            <w:proofErr w:type="spellEnd"/>
            <w:r w:rsidRPr="0022173B">
              <w:rPr>
                <w:rStyle w:val="Hyperlink"/>
                <w:rFonts w:ascii="Arial" w:hAnsi="Arial" w:cs="Arial"/>
                <w:b/>
                <w:bCs/>
                <w:color w:val="524B48"/>
                <w:sz w:val="32"/>
                <w:szCs w:val="32"/>
                <w:u w:val="none"/>
              </w:rPr>
              <w:t>®</w:t>
            </w:r>
          </w:p>
          <w:p w:rsidR="007B50BD" w:rsidRPr="00CF685C" w:rsidRDefault="007B50BD" w:rsidP="002A0DA5">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Hour-Glass Matrix</w:t>
            </w:r>
            <w:r w:rsidRPr="0022173B">
              <w:rPr>
                <w:rStyle w:val="Hyperlink"/>
                <w:rFonts w:ascii="MS Mincho" w:hAnsi="MS Mincho" w:cs="MS Mincho"/>
                <w:b/>
                <w:bCs/>
                <w:color w:val="524B48"/>
                <w:sz w:val="32"/>
                <w:szCs w:val="32"/>
                <w:u w:val="none"/>
              </w:rPr>
              <w:t>℠</w:t>
            </w:r>
          </w:p>
          <w:p w:rsidR="007B50BD" w:rsidRPr="00C65AFD" w:rsidRDefault="007B50BD" w:rsidP="002A0DA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7B50BD" w:rsidRPr="00C65AFD" w:rsidRDefault="007B50BD" w:rsidP="002A0DA5">
            <w:pPr>
              <w:jc w:val="center"/>
              <w:rPr>
                <w:rFonts w:ascii="Arial" w:hAnsi="Arial" w:cs="Arial"/>
                <w:i/>
                <w:color w:val="6C6361"/>
                <w:sz w:val="24"/>
                <w:szCs w:val="24"/>
              </w:rPr>
            </w:pPr>
            <w:r w:rsidRPr="00C65AFD">
              <w:rPr>
                <w:rFonts w:ascii="Arial" w:hAnsi="Arial" w:cs="Arial"/>
                <w:i/>
                <w:color w:val="6C6361"/>
                <w:sz w:val="24"/>
                <w:szCs w:val="24"/>
              </w:rPr>
              <w:t>by</w:t>
            </w:r>
          </w:p>
          <w:p w:rsidR="007B50BD" w:rsidRPr="00A35F54" w:rsidRDefault="007B50BD" w:rsidP="002A0DA5">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w:t>
              </w:r>
              <w:r>
                <w:rPr>
                  <w:rStyle w:val="Hyperlink"/>
                  <w:rFonts w:ascii="Arial" w:hAnsi="Arial" w:cs="Arial"/>
                  <w:color w:val="6C6361"/>
                  <w:sz w:val="24"/>
                  <w:szCs w:val="24"/>
                  <w:u w:val="none"/>
                </w:rPr>
                <w:t xml:space="preserve"> M.H.,</w:t>
              </w:r>
              <w:r w:rsidRPr="00A35F54">
                <w:rPr>
                  <w:rStyle w:val="Hyperlink"/>
                  <w:rFonts w:ascii="Arial" w:hAnsi="Arial" w:cs="Arial"/>
                  <w:color w:val="6C6361"/>
                  <w:sz w:val="24"/>
                  <w:szCs w:val="24"/>
                  <w:u w:val="none"/>
                </w:rPr>
                <w:t xml:space="preserve"> J.P.</w:t>
              </w:r>
            </w:hyperlink>
            <w:r w:rsidRPr="00A35F54">
              <w:rPr>
                <w:rFonts w:ascii="Arial" w:hAnsi="Arial" w:cs="Arial"/>
                <w:color w:val="6C6361"/>
                <w:sz w:val="24"/>
                <w:szCs w:val="24"/>
              </w:rPr>
              <w:t>,</w:t>
            </w:r>
          </w:p>
          <w:p w:rsidR="007B50BD" w:rsidRPr="00A35F54" w:rsidRDefault="007B50BD" w:rsidP="002A0DA5">
            <w:pPr>
              <w:jc w:val="center"/>
              <w:rPr>
                <w:rFonts w:ascii="Arial" w:hAnsi="Arial" w:cs="Arial"/>
                <w:color w:val="6C6361"/>
                <w:sz w:val="24"/>
                <w:szCs w:val="24"/>
              </w:rPr>
            </w:pPr>
            <w:r w:rsidRPr="00A35F54">
              <w:rPr>
                <w:rFonts w:ascii="Arial" w:hAnsi="Arial" w:cs="Arial"/>
                <w:color w:val="6C6361"/>
                <w:sz w:val="24"/>
                <w:szCs w:val="24"/>
              </w:rPr>
              <w:t>Solicitor, Notary Public,</w:t>
            </w:r>
          </w:p>
          <w:p w:rsidR="007B50BD" w:rsidRPr="00A35F54" w:rsidRDefault="007B50BD" w:rsidP="002A0DA5">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7B50BD" w:rsidRDefault="007B50BD" w:rsidP="002A0DA5">
            <w:pPr>
              <w:jc w:val="center"/>
              <w:rPr>
                <w:rFonts w:ascii="Arial" w:hAnsi="Arial" w:cs="Arial"/>
                <w:color w:val="6C6361"/>
                <w:sz w:val="24"/>
                <w:szCs w:val="24"/>
              </w:rPr>
            </w:pPr>
            <w:r w:rsidRPr="00A35F54">
              <w:rPr>
                <w:rFonts w:ascii="Arial" w:hAnsi="Arial" w:cs="Arial"/>
                <w:color w:val="6C6361"/>
                <w:sz w:val="24"/>
                <w:szCs w:val="24"/>
              </w:rPr>
              <w:t>Founder, NASIRS®</w:t>
            </w:r>
          </w:p>
          <w:p w:rsidR="007B50BD" w:rsidRPr="00D87ECF" w:rsidRDefault="007B50BD" w:rsidP="002A0DA5">
            <w:pPr>
              <w:jc w:val="center"/>
              <w:rPr>
                <w:rFonts w:ascii="Arial" w:hAnsi="Arial" w:cs="Arial"/>
                <w:color w:val="6C6361"/>
                <w:sz w:val="8"/>
                <w:szCs w:val="8"/>
              </w:rPr>
            </w:pPr>
          </w:p>
        </w:tc>
        <w:tc>
          <w:tcPr>
            <w:tcW w:w="5954" w:type="dxa"/>
            <w:shd w:val="clear" w:color="auto" w:fill="FFFFFF"/>
            <w:vAlign w:val="center"/>
          </w:tcPr>
          <w:p w:rsidR="007B50BD" w:rsidRPr="00D50772" w:rsidRDefault="007B50BD" w:rsidP="002A0DA5">
            <w:pPr>
              <w:spacing w:line="276" w:lineRule="auto"/>
              <w:jc w:val="center"/>
              <w:rPr>
                <w:rFonts w:ascii="Arial" w:eastAsia="Times New Roman" w:hAnsi="Arial" w:cs="Arial"/>
                <w:noProof/>
                <w:sz w:val="20"/>
                <w:szCs w:val="20"/>
              </w:rPr>
            </w:pPr>
            <w:r w:rsidRPr="00F53B41">
              <w:rPr>
                <w:rFonts w:ascii="Arial" w:eastAsia="Times New Roman" w:hAnsi="Arial" w:cs="Arial"/>
                <w:noProof/>
                <w:sz w:val="20"/>
                <w:szCs w:val="20"/>
              </w:rPr>
              <w:drawing>
                <wp:anchor distT="0" distB="0" distL="114300" distR="114300" simplePos="0" relativeHeight="251659264" behindDoc="0" locked="0" layoutInCell="1" allowOverlap="1" wp14:anchorId="1C2EC768" wp14:editId="49A4A6C4">
                  <wp:simplePos x="0" y="0"/>
                  <wp:positionH relativeFrom="column">
                    <wp:posOffset>3183890</wp:posOffset>
                  </wp:positionH>
                  <wp:positionV relativeFrom="paragraph">
                    <wp:posOffset>-121920</wp:posOffset>
                  </wp:positionV>
                  <wp:extent cx="53594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C9E79B4" wp14:editId="76AFD9A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B50BD" w:rsidRPr="009B2D21" w:rsidRDefault="007B50BD" w:rsidP="007B50BD">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7B50BD" w:rsidRPr="009B2D21" w:rsidTr="002A0DA5">
        <w:trPr>
          <w:trHeight w:val="4080"/>
          <w:jc w:val="center"/>
        </w:trPr>
        <w:tc>
          <w:tcPr>
            <w:tcW w:w="1985" w:type="dxa"/>
            <w:shd w:val="clear" w:color="auto" w:fill="FFFFFF"/>
            <w:vAlign w:val="center"/>
          </w:tcPr>
          <w:p w:rsidR="007B50BD" w:rsidRPr="009B2D21" w:rsidRDefault="007B50BD" w:rsidP="002A0DA5">
            <w:pPr>
              <w:spacing w:line="276" w:lineRule="auto"/>
              <w:jc w:val="center"/>
              <w:rPr>
                <w:rFonts w:ascii="Arial" w:hAnsi="Arial" w:cs="Arial"/>
                <w:szCs w:val="20"/>
              </w:rPr>
            </w:pPr>
            <w:r w:rsidRPr="009B2D21">
              <w:rPr>
                <w:rFonts w:ascii="Arial" w:hAnsi="Arial" w:cs="Arial"/>
                <w:noProof/>
                <w:szCs w:val="20"/>
              </w:rPr>
              <w:drawing>
                <wp:inline distT="0" distB="0" distL="0" distR="0" wp14:anchorId="533F12F9" wp14:editId="35C7B2CC">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7B50BD" w:rsidRPr="0022173B" w:rsidRDefault="007B50BD" w:rsidP="007B50BD">
            <w:pPr>
              <w:pStyle w:val="NormalWeb"/>
              <w:spacing w:before="0" w:beforeAutospacing="0" w:after="0" w:afterAutospacing="0"/>
              <w:jc w:val="both"/>
              <w:rPr>
                <w:rFonts w:ascii="Arial" w:hAnsi="Arial" w:cs="Arial"/>
                <w:b/>
                <w:color w:val="6C6361"/>
                <w:sz w:val="22"/>
                <w:szCs w:val="20"/>
              </w:rPr>
            </w:pPr>
            <w:proofErr w:type="spellStart"/>
            <w:r w:rsidRPr="0022173B">
              <w:rPr>
                <w:rFonts w:ascii="Arial" w:hAnsi="Arial" w:cs="Arial"/>
                <w:b/>
                <w:color w:val="6C6361"/>
                <w:sz w:val="22"/>
                <w:szCs w:val="20"/>
              </w:rPr>
              <w:t>Amirali</w:t>
            </w:r>
            <w:proofErr w:type="spellEnd"/>
            <w:r w:rsidRPr="0022173B">
              <w:rPr>
                <w:rFonts w:ascii="Arial" w:hAnsi="Arial" w:cs="Arial"/>
                <w:b/>
                <w:color w:val="6C6361"/>
                <w:sz w:val="22"/>
                <w:szCs w:val="20"/>
              </w:rPr>
              <w:t xml:space="preserve"> Nasir </w:t>
            </w:r>
            <w:r w:rsidRPr="0022173B">
              <w:rPr>
                <w:rFonts w:ascii="Arial" w:hAnsi="Arial" w:cs="Arial"/>
                <w:color w:val="6C6361"/>
                <w:sz w:val="22"/>
                <w:szCs w:val="20"/>
              </w:rPr>
              <w:t>solicitor admitted in Hong Kong, and England and Wales, founder of</w:t>
            </w:r>
            <w:r w:rsidRPr="0022173B">
              <w:rPr>
                <w:rFonts w:ascii="Arial" w:hAnsi="Arial" w:cs="Arial"/>
                <w:b/>
                <w:color w:val="6C6361"/>
                <w:sz w:val="22"/>
                <w:szCs w:val="20"/>
              </w:rPr>
              <w:t xml:space="preserve"> NASIRS® </w:t>
            </w:r>
            <w:r w:rsidRPr="0022173B">
              <w:rPr>
                <w:rFonts w:ascii="Arial" w:hAnsi="Arial" w:cs="Arial"/>
                <w:color w:val="6C6361"/>
                <w:sz w:val="22"/>
                <w:szCs w:val="20"/>
              </w:rPr>
              <w:t xml:space="preserve">(formerly </w:t>
            </w:r>
            <w:r w:rsidRPr="0022173B">
              <w:rPr>
                <w:rFonts w:ascii="Arial" w:hAnsi="Arial" w:cs="Arial"/>
                <w:b/>
                <w:color w:val="6C6361"/>
                <w:sz w:val="22"/>
                <w:szCs w:val="20"/>
              </w:rPr>
              <w:t>AB NASIR &amp; CO</w:t>
            </w:r>
            <w:proofErr w:type="gramStart"/>
            <w:r w:rsidRPr="0022173B">
              <w:rPr>
                <w:rFonts w:ascii="Arial" w:hAnsi="Arial" w:cs="Arial"/>
                <w:b/>
                <w:color w:val="6C6361"/>
                <w:sz w:val="22"/>
                <w:szCs w:val="20"/>
              </w:rPr>
              <w:t>.®</w:t>
            </w:r>
            <w:proofErr w:type="gramEnd"/>
            <w:r w:rsidRPr="0022173B">
              <w:rPr>
                <w:rFonts w:ascii="Arial" w:hAnsi="Arial" w:cs="Arial"/>
                <w:color w:val="6C6361"/>
                <w:sz w:val="22"/>
                <w:szCs w:val="20"/>
              </w:rPr>
              <w:t xml:space="preserve">).  Accredited mediator and regular speaker on Solicitors' Accounts, Professional Conduct, Civil Justice Reform, Risk Management, </w:t>
            </w:r>
            <w:proofErr w:type="gramStart"/>
            <w:r w:rsidRPr="0022173B">
              <w:rPr>
                <w:rFonts w:ascii="Arial" w:hAnsi="Arial" w:cs="Arial"/>
                <w:color w:val="6C6361"/>
                <w:sz w:val="22"/>
                <w:szCs w:val="20"/>
              </w:rPr>
              <w:t>Technology</w:t>
            </w:r>
            <w:proofErr w:type="gramEnd"/>
            <w:r w:rsidRPr="0022173B">
              <w:rPr>
                <w:rFonts w:ascii="Arial" w:hAnsi="Arial" w:cs="Arial"/>
                <w:color w:val="6C6361"/>
                <w:sz w:val="22"/>
                <w:szCs w:val="20"/>
              </w:rPr>
              <w:t xml:space="preserve"> in Law and Islamic Finance.</w:t>
            </w:r>
          </w:p>
          <w:p w:rsidR="007B50BD" w:rsidRPr="0022173B" w:rsidRDefault="007B50BD" w:rsidP="007B50BD">
            <w:pPr>
              <w:pStyle w:val="NormalWeb"/>
              <w:spacing w:before="0" w:beforeAutospacing="0" w:after="0" w:afterAutospacing="0"/>
              <w:jc w:val="both"/>
              <w:rPr>
                <w:rFonts w:ascii="Arial" w:hAnsi="Arial" w:cs="Arial"/>
                <w:b/>
                <w:color w:val="6C6361"/>
                <w:sz w:val="10"/>
                <w:szCs w:val="10"/>
              </w:rPr>
            </w:pPr>
          </w:p>
          <w:p w:rsidR="007B50BD" w:rsidRPr="0022173B" w:rsidRDefault="007B50BD" w:rsidP="007B50BD">
            <w:pPr>
              <w:pStyle w:val="NormalWeb"/>
              <w:spacing w:before="0" w:beforeAutospacing="0" w:after="0" w:afterAutospacing="0"/>
              <w:jc w:val="both"/>
              <w:rPr>
                <w:rFonts w:ascii="Arial" w:hAnsi="Arial" w:cs="Arial"/>
                <w:b/>
                <w:color w:val="6C6361"/>
                <w:sz w:val="22"/>
                <w:szCs w:val="20"/>
              </w:rPr>
            </w:pPr>
            <w:proofErr w:type="spellStart"/>
            <w:r w:rsidRPr="0022173B">
              <w:rPr>
                <w:rFonts w:ascii="Arial" w:hAnsi="Arial" w:cs="Arial"/>
                <w:b/>
                <w:color w:val="6C6361"/>
                <w:sz w:val="22"/>
                <w:szCs w:val="20"/>
              </w:rPr>
              <w:t>Amirali</w:t>
            </w:r>
            <w:proofErr w:type="spellEnd"/>
            <w:r w:rsidRPr="0022173B">
              <w:rPr>
                <w:rFonts w:ascii="Arial" w:hAnsi="Arial" w:cs="Arial"/>
                <w:b/>
                <w:color w:val="6C6361"/>
                <w:sz w:val="22"/>
                <w:szCs w:val="20"/>
              </w:rPr>
              <w:t xml:space="preserve"> </w:t>
            </w:r>
            <w:r w:rsidRPr="0022173B">
              <w:rPr>
                <w:rFonts w:ascii="Arial" w:hAnsi="Arial" w:cs="Arial"/>
                <w:color w:val="6C6361"/>
                <w:sz w:val="22"/>
                <w:szCs w:val="20"/>
              </w:rPr>
              <w:t xml:space="preserve">is a member of </w:t>
            </w:r>
            <w:proofErr w:type="gramStart"/>
            <w:r w:rsidRPr="0022173B">
              <w:rPr>
                <w:rFonts w:ascii="Arial" w:hAnsi="Arial" w:cs="Arial"/>
                <w:color w:val="6C6361"/>
                <w:sz w:val="22"/>
                <w:szCs w:val="20"/>
              </w:rPr>
              <w:t>the of</w:t>
            </w:r>
            <w:proofErr w:type="gramEnd"/>
            <w:r w:rsidRPr="0022173B">
              <w:rPr>
                <w:rFonts w:ascii="Arial" w:hAnsi="Arial" w:cs="Arial"/>
                <w:color w:val="6C6361"/>
                <w:sz w:val="22"/>
                <w:szCs w:val="20"/>
              </w:rPr>
              <w:t xml:space="preserve"> the Guidance Committee of the Law Society of Hong Kong.  Standing Committee on Compliance, Consents Committee, Chairman of the Guide Working Party, Chairman of </w:t>
            </w:r>
            <w:proofErr w:type="spellStart"/>
            <w:r w:rsidRPr="0022173B">
              <w:rPr>
                <w:rFonts w:ascii="Arial" w:hAnsi="Arial" w:cs="Arial"/>
                <w:color w:val="6C6361"/>
                <w:sz w:val="22"/>
                <w:szCs w:val="20"/>
              </w:rPr>
              <w:t>Innotech</w:t>
            </w:r>
            <w:proofErr w:type="spellEnd"/>
            <w:r w:rsidRPr="0022173B">
              <w:rPr>
                <w:rFonts w:ascii="Arial" w:hAnsi="Arial" w:cs="Arial"/>
                <w:color w:val="6C6361"/>
                <w:sz w:val="22"/>
                <w:szCs w:val="20"/>
              </w:rPr>
              <w:t xml:space="preserve"> Committee, Member of the Working Party on Solicitors' Accounts Rules, Chairman of the Working Party on Solicitors' Practice Rules and former External Examiner on "Accounts" for PCLL "Professional Practice and Management" and "Corporate and Commercial Transactions I" Examinations for The University of Hong Kong.</w:t>
            </w:r>
          </w:p>
          <w:p w:rsidR="007B50BD" w:rsidRPr="0022173B" w:rsidRDefault="007B50BD" w:rsidP="007B50BD">
            <w:pPr>
              <w:pStyle w:val="NormalWeb"/>
              <w:spacing w:before="0" w:beforeAutospacing="0" w:after="0" w:afterAutospacing="0"/>
              <w:jc w:val="both"/>
              <w:rPr>
                <w:rFonts w:ascii="Arial" w:hAnsi="Arial" w:cs="Arial"/>
                <w:b/>
                <w:color w:val="6C6361"/>
                <w:sz w:val="10"/>
                <w:szCs w:val="10"/>
              </w:rPr>
            </w:pPr>
          </w:p>
          <w:p w:rsidR="007B50BD" w:rsidRPr="009B2D21" w:rsidRDefault="007B50BD" w:rsidP="007B50BD">
            <w:pPr>
              <w:pStyle w:val="NormalWeb"/>
              <w:spacing w:before="0" w:beforeAutospacing="0" w:after="0" w:afterAutospacing="0"/>
              <w:jc w:val="both"/>
              <w:rPr>
                <w:rFonts w:ascii="Arial" w:hAnsi="Arial" w:cs="Arial"/>
                <w:color w:val="6C6361"/>
                <w:sz w:val="22"/>
                <w:szCs w:val="20"/>
              </w:rPr>
            </w:pPr>
            <w:proofErr w:type="spellStart"/>
            <w:r w:rsidRPr="0022173B">
              <w:rPr>
                <w:rFonts w:ascii="Arial" w:hAnsi="Arial" w:cs="Arial"/>
                <w:b/>
                <w:color w:val="6C6361"/>
                <w:sz w:val="22"/>
                <w:szCs w:val="20"/>
              </w:rPr>
              <w:t>Amirali</w:t>
            </w:r>
            <w:proofErr w:type="spellEnd"/>
            <w:r w:rsidRPr="0022173B">
              <w:rPr>
                <w:rFonts w:ascii="Arial" w:hAnsi="Arial" w:cs="Arial"/>
                <w:b/>
                <w:color w:val="6C6361"/>
                <w:sz w:val="22"/>
                <w:szCs w:val="20"/>
              </w:rPr>
              <w:t xml:space="preserve"> </w:t>
            </w:r>
            <w:r w:rsidRPr="0022173B">
              <w:rPr>
                <w:rFonts w:ascii="Arial" w:hAnsi="Arial" w:cs="Arial"/>
                <w:color w:val="6C6361"/>
                <w:sz w:val="22"/>
                <w:szCs w:val="20"/>
              </w:rPr>
              <w:t xml:space="preserve">actively promotes continuous education, equal opportunity, racial harmony, corporate governance and ethical values for lawyers, accountants and corporations, and advocates a green attitude for a clean blue green planet.  His hobbies are </w:t>
            </w:r>
            <w:proofErr w:type="spellStart"/>
            <w:r w:rsidRPr="0022173B">
              <w:rPr>
                <w:rFonts w:ascii="Arial" w:hAnsi="Arial" w:cs="Arial"/>
                <w:color w:val="6C6361"/>
                <w:sz w:val="22"/>
                <w:szCs w:val="20"/>
              </w:rPr>
              <w:t>neurogaming</w:t>
            </w:r>
            <w:proofErr w:type="spellEnd"/>
            <w:r w:rsidRPr="0022173B">
              <w:rPr>
                <w:rFonts w:ascii="Arial" w:hAnsi="Arial" w:cs="Arial"/>
                <w:color w:val="6C6361"/>
                <w:sz w:val="22"/>
                <w:szCs w:val="20"/>
              </w:rPr>
              <w:t>.</w:t>
            </w:r>
          </w:p>
        </w:tc>
      </w:tr>
    </w:tbl>
    <w:p w:rsidR="007B50BD" w:rsidRPr="009B2D21" w:rsidRDefault="007B50BD" w:rsidP="007B50BD">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7B50BD" w:rsidRPr="009B2D21" w:rsidTr="002A0DA5">
        <w:trPr>
          <w:trHeight w:val="4691"/>
          <w:jc w:val="center"/>
        </w:trPr>
        <w:tc>
          <w:tcPr>
            <w:tcW w:w="10773" w:type="dxa"/>
            <w:tcBorders>
              <w:top w:val="nil"/>
              <w:bottom w:val="nil"/>
            </w:tcBorders>
            <w:shd w:val="clear" w:color="auto" w:fill="FFFFFF" w:themeFill="background1"/>
            <w:vAlign w:val="center"/>
          </w:tcPr>
          <w:p w:rsidR="007B50BD" w:rsidRPr="00F8529E" w:rsidRDefault="007B50BD" w:rsidP="002A0DA5">
            <w:pPr>
              <w:pStyle w:val="ListParagraph"/>
              <w:ind w:left="35"/>
              <w:rPr>
                <w:rFonts w:ascii="Arial" w:hAnsi="Arial" w:cs="Arial"/>
                <w:color w:val="6C6361"/>
                <w:szCs w:val="20"/>
              </w:rPr>
            </w:pPr>
            <w:r w:rsidRPr="00F8529E">
              <w:rPr>
                <w:rFonts w:ascii="Arial" w:hAnsi="Arial" w:cs="Arial"/>
                <w:color w:val="6C6361"/>
                <w:szCs w:val="20"/>
              </w:rPr>
              <w:t>The course seeks to introduce the Solicitors' Accounts Rules, some common errors, mistakes and pitfalls that are encountered by firms and clarification of some uncertainty the legislation may cause.  The duties and responsibilities of the firm to the public and the Law Society are identified.  Important ethical issues will also be covered.</w:t>
            </w:r>
          </w:p>
          <w:p w:rsidR="007B50BD" w:rsidRPr="00F8529E" w:rsidRDefault="007B50BD" w:rsidP="002A0DA5">
            <w:pPr>
              <w:pStyle w:val="ListParagraph"/>
              <w:ind w:left="35"/>
              <w:rPr>
                <w:rFonts w:ascii="Arial" w:hAnsi="Arial" w:cs="Arial"/>
                <w:color w:val="6C6361"/>
                <w:sz w:val="10"/>
                <w:szCs w:val="10"/>
              </w:rPr>
            </w:pPr>
          </w:p>
          <w:p w:rsidR="007B50BD" w:rsidRPr="00F8529E" w:rsidRDefault="007B50BD" w:rsidP="002A0DA5">
            <w:pPr>
              <w:pStyle w:val="ListParagraph"/>
              <w:ind w:left="35"/>
              <w:rPr>
                <w:rFonts w:ascii="Arial" w:hAnsi="Arial" w:cs="Arial"/>
                <w:color w:val="6C6361"/>
                <w:szCs w:val="20"/>
              </w:rPr>
            </w:pPr>
            <w:r w:rsidRPr="00F8529E">
              <w:rPr>
                <w:rFonts w:ascii="Arial" w:hAnsi="Arial" w:cs="Arial"/>
                <w:color w:val="6C6361"/>
                <w:szCs w:val="20"/>
              </w:rPr>
              <w:t>In addition, with the Solicitors' Accounts (Amendment) Rules 2012 passed by the Legislative Council in December 2012.  Amendments introduced by the Solicitors' Accounts (Amendment) Rules 2012 came into effect on 1 July 2016.  The Manual on Solicitors' Accounting of the Law Society has been updated to reflect the amendments introduced by the Solicitors' Accounts (Amendment) Rules 2012.</w:t>
            </w:r>
          </w:p>
          <w:p w:rsidR="007B50BD" w:rsidRPr="00F8529E" w:rsidRDefault="007B50BD" w:rsidP="002A0DA5">
            <w:pPr>
              <w:pStyle w:val="ListParagraph"/>
              <w:ind w:left="35"/>
              <w:rPr>
                <w:rFonts w:ascii="Arial" w:hAnsi="Arial" w:cs="Arial"/>
                <w:color w:val="6C6361"/>
                <w:sz w:val="10"/>
                <w:szCs w:val="10"/>
              </w:rPr>
            </w:pPr>
          </w:p>
          <w:p w:rsidR="007B50BD" w:rsidRPr="00F8529E" w:rsidRDefault="007B50BD" w:rsidP="002A0DA5">
            <w:pPr>
              <w:pStyle w:val="ListParagraph"/>
              <w:ind w:left="35"/>
              <w:rPr>
                <w:rFonts w:ascii="Arial" w:hAnsi="Arial" w:cs="Arial"/>
                <w:color w:val="6C6361"/>
                <w:szCs w:val="20"/>
              </w:rPr>
            </w:pPr>
            <w:r w:rsidRPr="00F8529E">
              <w:rPr>
                <w:rFonts w:ascii="Arial" w:hAnsi="Arial" w:cs="Arial"/>
                <w:color w:val="6C6361"/>
                <w:szCs w:val="20"/>
              </w:rPr>
              <w:t>Firms must effect changes to their accounting systems on the handling and recording of client money.  This course will introduce and highlight the rules for timely compliance with the Solicitors' Accounts Rules.</w:t>
            </w:r>
          </w:p>
          <w:p w:rsidR="007B50BD" w:rsidRPr="00F8529E" w:rsidRDefault="007B50BD" w:rsidP="002A0DA5">
            <w:pPr>
              <w:pStyle w:val="ListParagraph"/>
              <w:ind w:left="35"/>
              <w:rPr>
                <w:rFonts w:ascii="Arial" w:hAnsi="Arial" w:cs="Arial"/>
                <w:color w:val="6C6361"/>
                <w:sz w:val="10"/>
                <w:szCs w:val="10"/>
              </w:rPr>
            </w:pPr>
          </w:p>
          <w:p w:rsidR="007B50BD" w:rsidRPr="00F8529E" w:rsidRDefault="007B50BD" w:rsidP="002A0DA5">
            <w:pPr>
              <w:pStyle w:val="ListParagraph"/>
              <w:ind w:left="35"/>
              <w:rPr>
                <w:rFonts w:ascii="Arial" w:hAnsi="Arial" w:cs="Arial"/>
                <w:color w:val="6C6361"/>
                <w:szCs w:val="20"/>
              </w:rPr>
            </w:pPr>
            <w:r w:rsidRPr="00F8529E">
              <w:rPr>
                <w:rFonts w:ascii="Arial" w:hAnsi="Arial" w:cs="Arial"/>
                <w:color w:val="6C6361"/>
                <w:szCs w:val="20"/>
              </w:rPr>
              <w:t xml:space="preserve">Practical demonstration as well as the use of the </w:t>
            </w:r>
            <w:proofErr w:type="spellStart"/>
            <w:r w:rsidRPr="00F8529E">
              <w:rPr>
                <w:rFonts w:ascii="Arial" w:hAnsi="Arial" w:cs="Arial"/>
                <w:b/>
                <w:color w:val="6C6361"/>
                <w:szCs w:val="20"/>
              </w:rPr>
              <w:t>Nasirs</w:t>
            </w:r>
            <w:proofErr w:type="spellEnd"/>
            <w:r w:rsidRPr="00F8529E">
              <w:rPr>
                <w:rFonts w:ascii="Arial" w:hAnsi="Arial" w:cs="Arial"/>
                <w:b/>
                <w:color w:val="6C6361"/>
                <w:szCs w:val="20"/>
              </w:rPr>
              <w:t>® Hour-Glass Matrix</w:t>
            </w:r>
            <w:r w:rsidRPr="00F8529E">
              <w:rPr>
                <w:rFonts w:cs="Calibri"/>
                <w:b/>
                <w:color w:val="6C6361"/>
                <w:szCs w:val="20"/>
              </w:rPr>
              <w:t>℠</w:t>
            </w:r>
            <w:r w:rsidRPr="00F8529E">
              <w:rPr>
                <w:rFonts w:ascii="Arial" w:hAnsi="Arial" w:cs="Arial"/>
                <w:color w:val="6C6361"/>
                <w:szCs w:val="20"/>
              </w:rPr>
              <w:t xml:space="preserve"> will enable delegates to easily and effortlessly assimilate and understand the Solicitors' Accounts Rules and apply them intuitively.  Microsoft Excel will also be used to explain the application of the Solicitors' Accounts Rules and accounting entries.</w:t>
            </w:r>
          </w:p>
          <w:p w:rsidR="007B50BD" w:rsidRPr="00F8529E" w:rsidRDefault="007B50BD" w:rsidP="002A0DA5">
            <w:pPr>
              <w:pStyle w:val="ListParagraph"/>
              <w:ind w:left="35"/>
              <w:rPr>
                <w:rFonts w:ascii="Arial" w:hAnsi="Arial" w:cs="Arial"/>
                <w:color w:val="6C6361"/>
                <w:sz w:val="10"/>
                <w:szCs w:val="10"/>
              </w:rPr>
            </w:pPr>
          </w:p>
          <w:p w:rsidR="007B50BD" w:rsidRPr="009B2D21" w:rsidRDefault="007B50BD" w:rsidP="002A0DA5">
            <w:pPr>
              <w:pStyle w:val="ListParagraph"/>
              <w:ind w:left="35"/>
              <w:rPr>
                <w:rFonts w:ascii="Arial" w:hAnsi="Arial" w:cs="Arial"/>
                <w:color w:val="6C6361"/>
                <w:szCs w:val="20"/>
              </w:rPr>
            </w:pPr>
            <w:r w:rsidRPr="00F8529E">
              <w:rPr>
                <w:rFonts w:ascii="Arial" w:hAnsi="Arial" w:cs="Arial"/>
                <w:color w:val="6C6361"/>
                <w:szCs w:val="20"/>
              </w:rPr>
              <w:t>This course is primarily designed for law firm staff dealing with solicitors' accounts on a day to day basis and those interested in the management of client money and compliance with the Solicitors' Accounts Rules.</w:t>
            </w:r>
          </w:p>
        </w:tc>
      </w:tr>
    </w:tbl>
    <w:p w:rsidR="007B50BD" w:rsidRDefault="007B50BD" w:rsidP="007B50BD">
      <w:pPr>
        <w:spacing w:line="276" w:lineRule="auto"/>
        <w:rPr>
          <w:rFonts w:ascii="Arial" w:hAnsi="Arial" w:cs="Arial"/>
          <w:sz w:val="20"/>
          <w:szCs w:val="16"/>
        </w:rPr>
      </w:pPr>
    </w:p>
    <w:p w:rsidR="007B50BD" w:rsidRDefault="007B50BD" w:rsidP="007B50BD">
      <w:pPr>
        <w:spacing w:line="276" w:lineRule="auto"/>
        <w:rPr>
          <w:rFonts w:ascii="Arial" w:hAnsi="Arial" w:cs="Arial"/>
          <w:sz w:val="20"/>
          <w:szCs w:val="16"/>
        </w:rPr>
      </w:pPr>
    </w:p>
    <w:p w:rsidR="007B50BD" w:rsidRDefault="007B50BD" w:rsidP="007B50BD">
      <w:pPr>
        <w:spacing w:line="276" w:lineRule="auto"/>
        <w:rPr>
          <w:rFonts w:ascii="Arial" w:hAnsi="Arial" w:cs="Arial"/>
          <w:sz w:val="20"/>
          <w:szCs w:val="16"/>
        </w:rPr>
      </w:pPr>
    </w:p>
    <w:p w:rsidR="007B50BD" w:rsidRDefault="007B50BD" w:rsidP="007B50BD">
      <w:pPr>
        <w:spacing w:line="276" w:lineRule="auto"/>
        <w:rPr>
          <w:rFonts w:ascii="Arial" w:hAnsi="Arial" w:cs="Arial"/>
          <w:sz w:val="20"/>
          <w:szCs w:val="16"/>
        </w:rPr>
      </w:pPr>
    </w:p>
    <w:p w:rsidR="007B50BD" w:rsidRPr="009B2D21" w:rsidRDefault="007B50BD" w:rsidP="007B50BD">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7B50BD" w:rsidRPr="009B2D21" w:rsidTr="002A0DA5">
        <w:trPr>
          <w:trHeight w:val="397"/>
          <w:jc w:val="center"/>
        </w:trPr>
        <w:tc>
          <w:tcPr>
            <w:tcW w:w="10773" w:type="dxa"/>
            <w:gridSpan w:val="2"/>
            <w:tcBorders>
              <w:top w:val="nil"/>
              <w:bottom w:val="nil"/>
            </w:tcBorders>
            <w:shd w:val="clear" w:color="auto" w:fill="F0EBE1"/>
            <w:vAlign w:val="center"/>
          </w:tcPr>
          <w:p w:rsidR="007B50BD" w:rsidRPr="009B2D21" w:rsidRDefault="007B50BD" w:rsidP="002A0DA5">
            <w:pPr>
              <w:rPr>
                <w:rFonts w:ascii="Arial" w:hAnsi="Arial" w:cs="Arial"/>
                <w:b/>
                <w:color w:val="524B48"/>
                <w:szCs w:val="20"/>
              </w:rPr>
            </w:pPr>
            <w:r w:rsidRPr="009B2D21">
              <w:rPr>
                <w:rFonts w:ascii="Arial" w:hAnsi="Arial" w:cs="Arial"/>
                <w:b/>
                <w:color w:val="524B48"/>
                <w:szCs w:val="20"/>
              </w:rPr>
              <w:lastRenderedPageBreak/>
              <w:t>Contents:</w:t>
            </w:r>
          </w:p>
        </w:tc>
      </w:tr>
      <w:tr w:rsidR="007B50BD" w:rsidRPr="009B2D21" w:rsidTr="002A0DA5">
        <w:trPr>
          <w:trHeight w:val="4002"/>
          <w:jc w:val="center"/>
        </w:trPr>
        <w:tc>
          <w:tcPr>
            <w:tcW w:w="9072" w:type="dxa"/>
            <w:tcBorders>
              <w:top w:val="nil"/>
              <w:bottom w:val="nil"/>
              <w:right w:val="nil"/>
            </w:tcBorders>
            <w:shd w:val="clear" w:color="auto" w:fill="FFFFFF"/>
            <w:vAlign w:val="center"/>
          </w:tcPr>
          <w:p w:rsidR="007B50BD" w:rsidRPr="00C52047" w:rsidRDefault="007B50BD" w:rsidP="007B50BD">
            <w:pPr>
              <w:pStyle w:val="ListParagraph"/>
              <w:numPr>
                <w:ilvl w:val="0"/>
                <w:numId w:val="18"/>
              </w:numPr>
              <w:ind w:left="318" w:right="-109" w:hanging="283"/>
              <w:jc w:val="left"/>
              <w:rPr>
                <w:rFonts w:ascii="Arial" w:hAnsi="Arial" w:cs="Arial"/>
                <w:b/>
                <w:color w:val="6C6361"/>
                <w:szCs w:val="20"/>
              </w:rPr>
            </w:pPr>
            <w:r w:rsidRPr="00C52047">
              <w:rPr>
                <w:rFonts w:ascii="Arial" w:hAnsi="Arial" w:cs="Arial"/>
                <w:color w:val="6C6361"/>
                <w:szCs w:val="20"/>
              </w:rPr>
              <w:t xml:space="preserve">Introduce the </w:t>
            </w:r>
            <w:proofErr w:type="spellStart"/>
            <w:r w:rsidRPr="00C52047">
              <w:rPr>
                <w:rFonts w:ascii="Arial" w:hAnsi="Arial" w:cs="Arial"/>
                <w:b/>
                <w:color w:val="6C6361"/>
                <w:szCs w:val="20"/>
              </w:rPr>
              <w:t>Nasirs</w:t>
            </w:r>
            <w:proofErr w:type="spellEnd"/>
            <w:r w:rsidRPr="00C52047">
              <w:rPr>
                <w:rFonts w:ascii="Arial" w:hAnsi="Arial" w:cs="Arial"/>
                <w:b/>
                <w:color w:val="6C6361"/>
                <w:szCs w:val="20"/>
              </w:rPr>
              <w:t>® Hour-Glass Matrix</w:t>
            </w:r>
            <w:r w:rsidRPr="00C52047">
              <w:rPr>
                <w:rFonts w:ascii="MS Mincho" w:hAnsi="MS Mincho" w:cs="MS Mincho"/>
                <w:b/>
                <w:color w:val="6C6361"/>
                <w:szCs w:val="20"/>
              </w:rPr>
              <w:t>℠</w:t>
            </w:r>
          </w:p>
          <w:p w:rsidR="007B50BD" w:rsidRDefault="007B50BD" w:rsidP="007B50BD">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Demonstration on the requirements of each rule and how they work in practice</w:t>
            </w:r>
          </w:p>
          <w:p w:rsidR="007B50BD" w:rsidRDefault="007B50BD" w:rsidP="007B50BD">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Procedures, common errors and pitfalls</w:t>
            </w:r>
          </w:p>
          <w:p w:rsidR="007B50BD" w:rsidRDefault="007B50BD" w:rsidP="007B50BD">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Solicitors/Accountants' duties and responsibility</w:t>
            </w:r>
          </w:p>
          <w:p w:rsidR="007B50BD" w:rsidRDefault="007B50BD" w:rsidP="007B50BD">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Preparing Gross Fee Income Report &amp; Accountant's Report</w:t>
            </w:r>
          </w:p>
          <w:p w:rsidR="007B50BD" w:rsidRDefault="007B50BD" w:rsidP="007B50BD">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Obligation to keep proper books with examples on client account ledger</w:t>
            </w:r>
          </w:p>
          <w:p w:rsidR="007B50BD" w:rsidRPr="00C52047" w:rsidRDefault="007B50BD" w:rsidP="007B50BD">
            <w:pPr>
              <w:pStyle w:val="ListParagraph"/>
              <w:numPr>
                <w:ilvl w:val="0"/>
                <w:numId w:val="18"/>
              </w:numPr>
              <w:ind w:left="318" w:right="-109" w:hanging="283"/>
              <w:jc w:val="left"/>
              <w:rPr>
                <w:rFonts w:ascii="Arial" w:hAnsi="Arial" w:cs="Arial"/>
                <w:color w:val="6C6361"/>
                <w:szCs w:val="20"/>
              </w:rPr>
            </w:pPr>
            <w:r w:rsidRPr="00C52047">
              <w:rPr>
                <w:rFonts w:ascii="Arial" w:hAnsi="Arial" w:cs="Arial"/>
                <w:color w:val="6C6361"/>
                <w:szCs w:val="20"/>
              </w:rPr>
              <w:t>Discussion on preparing a Reconciliation Account per month</w:t>
            </w:r>
          </w:p>
          <w:p w:rsidR="007B50BD" w:rsidRPr="009B2D21" w:rsidRDefault="007B50BD" w:rsidP="007B50BD">
            <w:pPr>
              <w:pStyle w:val="ListParagraph"/>
              <w:numPr>
                <w:ilvl w:val="0"/>
                <w:numId w:val="18"/>
              </w:numPr>
              <w:ind w:left="318" w:right="-109" w:hanging="283"/>
              <w:jc w:val="left"/>
              <w:rPr>
                <w:rFonts w:ascii="Arial" w:hAnsi="Arial" w:cs="Arial"/>
                <w:color w:val="6C6361"/>
                <w:szCs w:val="20"/>
              </w:rPr>
            </w:pPr>
            <w:r>
              <w:rPr>
                <w:rFonts w:ascii="Arial" w:hAnsi="Arial" w:cs="Arial"/>
                <w:color w:val="6C6361"/>
                <w:szCs w:val="20"/>
              </w:rPr>
              <w:t>Relevant s</w:t>
            </w:r>
            <w:r w:rsidRPr="009B2D21">
              <w:rPr>
                <w:rFonts w:ascii="Arial" w:hAnsi="Arial" w:cs="Arial"/>
                <w:color w:val="6C6361"/>
                <w:szCs w:val="20"/>
              </w:rPr>
              <w:t>ource</w:t>
            </w:r>
            <w:r>
              <w:rPr>
                <w:rFonts w:ascii="Arial" w:hAnsi="Arial" w:cs="Arial"/>
                <w:color w:val="6C6361"/>
                <w:szCs w:val="20"/>
              </w:rPr>
              <w:t>s</w:t>
            </w:r>
            <w:r w:rsidRPr="009B2D21">
              <w:rPr>
                <w:rFonts w:ascii="Arial" w:hAnsi="Arial" w:cs="Arial"/>
                <w:color w:val="6C6361"/>
                <w:szCs w:val="20"/>
              </w:rPr>
              <w:t xml:space="preserve"> of law and </w:t>
            </w:r>
            <w:r>
              <w:rPr>
                <w:rFonts w:ascii="Arial" w:hAnsi="Arial" w:cs="Arial"/>
                <w:color w:val="6C6361"/>
                <w:szCs w:val="20"/>
              </w:rPr>
              <w:t>regulation:</w:t>
            </w:r>
          </w:p>
          <w:p w:rsidR="007B50BD" w:rsidRPr="009B2D21" w:rsidRDefault="007B50BD" w:rsidP="007B50BD">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S</w:t>
            </w:r>
            <w:r>
              <w:rPr>
                <w:rFonts w:ascii="Arial" w:hAnsi="Arial" w:cs="Arial"/>
                <w:color w:val="6C6361"/>
                <w:szCs w:val="20"/>
              </w:rPr>
              <w:t>olicitors' Accounts Rules (Cap.</w:t>
            </w:r>
            <w:r w:rsidRPr="009B2D21">
              <w:rPr>
                <w:rFonts w:ascii="Arial" w:hAnsi="Arial" w:cs="Arial"/>
                <w:color w:val="6C6361"/>
                <w:szCs w:val="20"/>
              </w:rPr>
              <w:t>159F)</w:t>
            </w:r>
          </w:p>
          <w:p w:rsidR="007B50BD" w:rsidRPr="009B2D21" w:rsidRDefault="007B50BD" w:rsidP="007B50BD">
            <w:pPr>
              <w:pStyle w:val="ListParagraph"/>
              <w:numPr>
                <w:ilvl w:val="1"/>
                <w:numId w:val="18"/>
              </w:numPr>
              <w:ind w:left="743" w:right="-109"/>
              <w:jc w:val="left"/>
              <w:rPr>
                <w:rFonts w:ascii="Arial" w:hAnsi="Arial" w:cs="Arial"/>
                <w:color w:val="6C6361"/>
                <w:szCs w:val="20"/>
              </w:rPr>
            </w:pPr>
            <w:r>
              <w:rPr>
                <w:rFonts w:ascii="Arial" w:hAnsi="Arial" w:cs="Arial"/>
                <w:color w:val="6C6361"/>
                <w:szCs w:val="20"/>
              </w:rPr>
              <w:t>Accountant's Report Rules (Cap.</w:t>
            </w:r>
            <w:r w:rsidRPr="009B2D21">
              <w:rPr>
                <w:rFonts w:ascii="Arial" w:hAnsi="Arial" w:cs="Arial"/>
                <w:color w:val="6C6361"/>
                <w:szCs w:val="20"/>
              </w:rPr>
              <w:t>159A)</w:t>
            </w:r>
          </w:p>
          <w:p w:rsidR="007B50BD" w:rsidRDefault="007B50BD" w:rsidP="007B50BD">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HKICPA Practice Note 840</w:t>
            </w:r>
          </w:p>
          <w:p w:rsidR="007B50BD" w:rsidRDefault="007B50BD" w:rsidP="007B50BD">
            <w:pPr>
              <w:pStyle w:val="ListParagraph"/>
              <w:numPr>
                <w:ilvl w:val="1"/>
                <w:numId w:val="18"/>
              </w:numPr>
              <w:ind w:left="743" w:right="-109"/>
              <w:jc w:val="left"/>
              <w:rPr>
                <w:rFonts w:ascii="Arial" w:hAnsi="Arial" w:cs="Arial"/>
                <w:color w:val="6C6361"/>
                <w:szCs w:val="20"/>
              </w:rPr>
            </w:pPr>
            <w:r>
              <w:rPr>
                <w:rFonts w:ascii="Arial" w:hAnsi="Arial" w:cs="Arial"/>
                <w:color w:val="6C6361"/>
                <w:szCs w:val="20"/>
              </w:rPr>
              <w:t>Hong Kong Solicitors’ Guide</w:t>
            </w:r>
          </w:p>
          <w:p w:rsidR="007B50BD" w:rsidRDefault="007B50BD" w:rsidP="007B50BD">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Practice Directions A(3)</w:t>
            </w:r>
          </w:p>
          <w:p w:rsidR="007B50BD" w:rsidRPr="00C52047" w:rsidRDefault="007B50BD" w:rsidP="007B50BD">
            <w:pPr>
              <w:pStyle w:val="ListParagraph"/>
              <w:numPr>
                <w:ilvl w:val="1"/>
                <w:numId w:val="18"/>
              </w:numPr>
              <w:ind w:left="743" w:right="-109"/>
              <w:jc w:val="left"/>
              <w:rPr>
                <w:rFonts w:ascii="Arial" w:hAnsi="Arial" w:cs="Arial"/>
                <w:color w:val="6C6361"/>
                <w:szCs w:val="20"/>
              </w:rPr>
            </w:pPr>
            <w:r w:rsidRPr="009B2D21">
              <w:rPr>
                <w:rFonts w:ascii="Arial" w:hAnsi="Arial" w:cs="Arial"/>
                <w:color w:val="6C6361"/>
                <w:szCs w:val="20"/>
              </w:rPr>
              <w:t>Manual on Solicitors' Accounting</w:t>
            </w:r>
          </w:p>
        </w:tc>
        <w:tc>
          <w:tcPr>
            <w:tcW w:w="1701" w:type="dxa"/>
            <w:tcBorders>
              <w:top w:val="nil"/>
              <w:left w:val="nil"/>
              <w:bottom w:val="nil"/>
            </w:tcBorders>
            <w:shd w:val="clear" w:color="auto" w:fill="FFFFFF"/>
            <w:vAlign w:val="center"/>
          </w:tcPr>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Default="007B50BD" w:rsidP="002A0DA5">
            <w:pPr>
              <w:ind w:right="-109"/>
              <w:jc w:val="left"/>
              <w:rPr>
                <w:rFonts w:ascii="Arial" w:hAnsi="Arial" w:cs="Arial"/>
                <w:color w:val="6C6361"/>
                <w:szCs w:val="20"/>
              </w:rPr>
            </w:pPr>
          </w:p>
          <w:p w:rsidR="007B50BD" w:rsidRPr="009B2D21" w:rsidRDefault="007B50BD" w:rsidP="002A0DA5">
            <w:pPr>
              <w:ind w:right="-109"/>
              <w:jc w:val="left"/>
              <w:rPr>
                <w:rFonts w:ascii="Arial" w:hAnsi="Arial" w:cs="Arial"/>
                <w:color w:val="6C6361"/>
                <w:szCs w:val="20"/>
              </w:rPr>
            </w:pPr>
            <w:r w:rsidRPr="003961ED">
              <w:rPr>
                <w:rFonts w:ascii="Arial" w:hAnsi="Arial" w:cs="Arial"/>
                <w:noProof/>
                <w:color w:val="6C6361"/>
                <w:szCs w:val="20"/>
              </w:rPr>
              <w:drawing>
                <wp:inline distT="0" distB="0" distL="0" distR="0" wp14:anchorId="49231BDE" wp14:editId="62F0F2BB">
                  <wp:extent cx="892800" cy="10224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ED0144" w:rsidRPr="00255247" w:rsidRDefault="00ED0144"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7B50BD" w:rsidRPr="000762CF" w:rsidTr="00255247">
        <w:trPr>
          <w:trHeight w:val="397"/>
          <w:jc w:val="center"/>
        </w:trPr>
        <w:tc>
          <w:tcPr>
            <w:tcW w:w="1701" w:type="dxa"/>
            <w:tcBorders>
              <w:top w:val="nil"/>
              <w:left w:val="nil"/>
              <w:bottom w:val="single" w:sz="12" w:space="0" w:color="FFFFFF"/>
            </w:tcBorders>
            <w:shd w:val="clear" w:color="auto" w:fill="F0EBE1"/>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EVT000000303</w:t>
            </w:r>
          </w:p>
        </w:tc>
        <w:tc>
          <w:tcPr>
            <w:tcW w:w="1701" w:type="dxa"/>
            <w:tcBorders>
              <w:top w:val="nil"/>
              <w:bottom w:val="single" w:sz="12" w:space="0" w:color="FFFFFF"/>
            </w:tcBorders>
            <w:shd w:val="clear" w:color="auto" w:fill="F0EBE1"/>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Advanced</w:t>
            </w:r>
          </w:p>
        </w:tc>
      </w:tr>
      <w:tr w:rsidR="007B50BD" w:rsidRPr="000762CF"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22 January 2020 </w:t>
            </w:r>
            <w:r w:rsidRPr="00BD3C9B">
              <w:rPr>
                <w:rFonts w:ascii="Arial" w:hAnsi="Arial" w:cs="Arial"/>
                <w:b/>
                <w:color w:val="6C6361"/>
                <w:sz w:val="20"/>
                <w:szCs w:val="20"/>
              </w:rPr>
              <w:t>(Wednesday)</w:t>
            </w:r>
          </w:p>
        </w:tc>
        <w:tc>
          <w:tcPr>
            <w:tcW w:w="1701" w:type="dxa"/>
            <w:tcBorders>
              <w:top w:val="single" w:sz="12" w:space="0" w:color="FFFFFF"/>
              <w:bottom w:val="single" w:sz="12" w:space="0" w:color="FFFFFF"/>
            </w:tcBorders>
            <w:shd w:val="clear" w:color="auto" w:fill="F0EBE1"/>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7B50BD" w:rsidRPr="000762CF"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7B50BD" w:rsidRPr="000762CF"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B50BD"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3.0 </w:t>
            </w:r>
            <w:r w:rsidRPr="000762CF">
              <w:rPr>
                <w:rFonts w:ascii="Arial" w:hAnsi="Arial" w:cs="Arial"/>
                <w:b/>
                <w:color w:val="6C6361"/>
                <w:sz w:val="20"/>
                <w:szCs w:val="20"/>
              </w:rPr>
              <w:t xml:space="preserve">RME Elective </w:t>
            </w:r>
            <w:r>
              <w:rPr>
                <w:rFonts w:ascii="Arial" w:hAnsi="Arial" w:cs="Arial"/>
                <w:b/>
                <w:color w:val="6C6361"/>
                <w:sz w:val="20"/>
                <w:szCs w:val="20"/>
              </w:rPr>
              <w:t>Hours</w:t>
            </w:r>
          </w:p>
          <w:p w:rsidR="007B50BD" w:rsidRPr="00EE504E" w:rsidRDefault="007B50BD" w:rsidP="007B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3.5</w:t>
            </w:r>
            <w:r w:rsidRPr="000762CF">
              <w:rPr>
                <w:rFonts w:ascii="Arial" w:hAnsi="Arial" w:cs="Arial"/>
                <w:b/>
                <w:color w:val="6C6361"/>
                <w:sz w:val="20"/>
                <w:szCs w:val="20"/>
              </w:rPr>
              <w:t xml:space="preserve"> </w:t>
            </w:r>
            <w:r>
              <w:rPr>
                <w:rFonts w:ascii="Arial" w:hAnsi="Arial" w:cs="Arial"/>
                <w:b/>
                <w:color w:val="6C6361"/>
                <w:sz w:val="20"/>
                <w:szCs w:val="20"/>
              </w:rPr>
              <w:t>CPD Points</w:t>
            </w:r>
          </w:p>
        </w:tc>
      </w:tr>
      <w:tr w:rsidR="00ED0144" w:rsidRPr="000762CF" w:rsidTr="00315E28">
        <w:trPr>
          <w:trHeight w:val="1247"/>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BEF" w:rsidRDefault="00BB3BEF" w:rsidP="00546556">
      <w:r>
        <w:separator/>
      </w:r>
    </w:p>
  </w:endnote>
  <w:endnote w:type="continuationSeparator" w:id="0">
    <w:p w:rsidR="00BB3BEF" w:rsidRDefault="00BB3BE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BEF" w:rsidRDefault="00BB3BEF" w:rsidP="00546556">
      <w:r>
        <w:separator/>
      </w:r>
    </w:p>
  </w:footnote>
  <w:footnote w:type="continuationSeparator" w:id="0">
    <w:p w:rsidR="00BB3BEF" w:rsidRDefault="00BB3BE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i3AVEOuVk3yqhNDhY1BAEXvJBbFsDjjN/Eq+M892ciZ8GzrubtjepNBhaB7j2QtwVA1tdPNm882iPBfnlRqSCQ==" w:salt="nqcfPWdchR/SmyrHUdhh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240B"/>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641"/>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0BD"/>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2FDC"/>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5E83"/>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3BEF"/>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0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224D-D3F7-40A1-BAA1-98EF4319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RME Elective Course: Solicitors' Accounts Rules through the Nasirs® Hour-Glass Matrix℠</vt:lpstr>
    </vt:vector>
  </TitlesOfParts>
  <Manager>Tyrone Tsang</Manager>
  <Company>The Profectional Company Limited</Company>
  <LinksUpToDate>false</LinksUpToDate>
  <CharactersWithSpaces>3941</CharactersWithSpaces>
  <SharedDoc>false</SharedDoc>
  <HyperlinkBase>http://download.profectional.com/events/EVT000000303.docx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Solicitors' Accounts Rules through the Nasirs® Hour-Glass Matrix℠</dc:title>
  <dc:subject>CPD Course, RME Elective Course: Solicitors' Accounts Rules through the Nasirs® Hour-Glass Matrix℠</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32</cp:revision>
  <cp:lastPrinted>2018-05-08T15:48:00Z</cp:lastPrinted>
  <dcterms:created xsi:type="dcterms:W3CDTF">2015-08-21T08:33:00Z</dcterms:created>
  <dcterms:modified xsi:type="dcterms:W3CDTF">2020-01-22T03:55:00Z</dcterms:modified>
</cp:coreProperties>
</file>