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E65" w:rsidRPr="00485E65" w:rsidRDefault="00485E65" w:rsidP="00485E65">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85E65" w:rsidRPr="00523A64" w:rsidTr="00397FC5">
        <w:trPr>
          <w:trHeight w:val="3119"/>
          <w:jc w:val="center"/>
        </w:trPr>
        <w:tc>
          <w:tcPr>
            <w:tcW w:w="4797" w:type="dxa"/>
            <w:shd w:val="clear" w:color="auto" w:fill="FFFFFF"/>
            <w:vAlign w:val="center"/>
          </w:tcPr>
          <w:p w:rsidR="00485E65" w:rsidRPr="001A3018" w:rsidRDefault="00485E65" w:rsidP="00397FC5">
            <w:pPr>
              <w:jc w:val="center"/>
              <w:rPr>
                <w:rFonts w:ascii="Arial" w:hAnsi="Arial" w:cs="Arial"/>
                <w:b/>
                <w:bCs/>
                <w:color w:val="524B48"/>
                <w:sz w:val="4"/>
                <w:szCs w:val="4"/>
              </w:rPr>
            </w:pPr>
          </w:p>
          <w:p w:rsidR="00485E65" w:rsidRDefault="00485E65" w:rsidP="00397FC5">
            <w:pPr>
              <w:jc w:val="center"/>
              <w:rPr>
                <w:rStyle w:val="Hyperlink"/>
                <w:rFonts w:ascii="Arial" w:hAnsi="Arial" w:cs="Arial"/>
                <w:b/>
                <w:bCs/>
                <w:color w:val="524B48"/>
                <w:sz w:val="32"/>
                <w:szCs w:val="32"/>
                <w:u w:val="none"/>
              </w:rPr>
            </w:pPr>
            <w:r w:rsidRPr="00CF685C">
              <w:fldChar w:fldCharType="begin"/>
            </w:r>
            <w:r>
              <w:instrText>HYPERLINK "http://cpd.hk/evt000000322/"</w:instrText>
            </w:r>
            <w:r w:rsidRPr="00CF685C">
              <w:fldChar w:fldCharType="separate"/>
            </w:r>
            <w:r>
              <w:rPr>
                <w:rStyle w:val="Hyperlink"/>
                <w:rFonts w:ascii="Arial" w:hAnsi="Arial" w:cs="Arial"/>
                <w:b/>
                <w:bCs/>
                <w:color w:val="524B48"/>
                <w:sz w:val="32"/>
                <w:szCs w:val="32"/>
                <w:u w:val="none"/>
              </w:rPr>
              <w:t>Chinese Custom and</w:t>
            </w:r>
          </w:p>
          <w:p w:rsidR="00485E65" w:rsidRDefault="00485E65" w:rsidP="00397FC5">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Law in Hong Kong</w:t>
            </w:r>
          </w:p>
          <w:p w:rsidR="00485E65" w:rsidRDefault="00485E65" w:rsidP="00397FC5">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the Curious Case</w:t>
            </w:r>
          </w:p>
          <w:p w:rsidR="00485E65" w:rsidRDefault="00485E65" w:rsidP="00397FC5">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of the Chinese</w:t>
            </w:r>
          </w:p>
          <w:p w:rsidR="00485E65" w:rsidRDefault="00485E65" w:rsidP="00397FC5">
            <w:pPr>
              <w:jc w:val="center"/>
              <w:rPr>
                <w:rStyle w:val="Hyperlink"/>
                <w:rFonts w:ascii="Arial" w:hAnsi="Arial" w:cs="Arial"/>
                <w:b/>
                <w:bCs/>
                <w:color w:val="524B48"/>
                <w:sz w:val="32"/>
                <w:szCs w:val="32"/>
                <w:u w:val="none"/>
              </w:rPr>
            </w:pPr>
            <w:r w:rsidRPr="006408D2">
              <w:rPr>
                <w:rStyle w:val="Hyperlink"/>
                <w:rFonts w:ascii="Arial" w:hAnsi="Arial" w:cs="Arial"/>
                <w:b/>
                <w:bCs/>
                <w:color w:val="524B48"/>
                <w:sz w:val="32"/>
                <w:szCs w:val="32"/>
                <w:u w:val="none"/>
              </w:rPr>
              <w:t>Customary Trust</w:t>
            </w:r>
          </w:p>
          <w:p w:rsidR="00485E65" w:rsidRPr="00C65AFD" w:rsidRDefault="00485E65" w:rsidP="00397FC5">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485E65" w:rsidRPr="00C65AFD" w:rsidRDefault="00485E65" w:rsidP="00397FC5">
            <w:pPr>
              <w:jc w:val="center"/>
              <w:rPr>
                <w:rFonts w:ascii="Arial" w:hAnsi="Arial" w:cs="Arial"/>
                <w:i/>
                <w:color w:val="6C6361"/>
                <w:sz w:val="24"/>
                <w:szCs w:val="24"/>
              </w:rPr>
            </w:pPr>
            <w:r w:rsidRPr="00C65AFD">
              <w:rPr>
                <w:rFonts w:ascii="Arial" w:hAnsi="Arial" w:cs="Arial"/>
                <w:i/>
                <w:color w:val="6C6361"/>
                <w:sz w:val="24"/>
                <w:szCs w:val="24"/>
              </w:rPr>
              <w:t>by</w:t>
            </w:r>
          </w:p>
          <w:p w:rsidR="00485E65" w:rsidRDefault="00485E65" w:rsidP="00397FC5">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485E65" w:rsidRDefault="00485E65" w:rsidP="00397FC5">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485E65" w:rsidRDefault="00485E65" w:rsidP="00397FC5">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485E65" w:rsidRDefault="00485E65" w:rsidP="00397FC5">
            <w:pPr>
              <w:jc w:val="center"/>
              <w:rPr>
                <w:rFonts w:ascii="Arial" w:hAnsi="Arial" w:cs="Arial"/>
                <w:color w:val="6C6361"/>
                <w:sz w:val="24"/>
                <w:szCs w:val="24"/>
              </w:rPr>
            </w:pPr>
            <w:r>
              <w:rPr>
                <w:rFonts w:ascii="Arial" w:hAnsi="Arial" w:cs="Arial"/>
                <w:color w:val="6C6361"/>
                <w:sz w:val="24"/>
                <w:szCs w:val="24"/>
              </w:rPr>
              <w:t>The Faculty of Law,</w:t>
            </w:r>
          </w:p>
          <w:p w:rsidR="00485E65" w:rsidRPr="007E02E6" w:rsidRDefault="00485E65" w:rsidP="00397FC5">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485E65" w:rsidRPr="00D87ECF" w:rsidRDefault="00485E65" w:rsidP="00397FC5">
            <w:pPr>
              <w:jc w:val="center"/>
              <w:rPr>
                <w:rFonts w:ascii="Arial" w:hAnsi="Arial" w:cs="Arial"/>
                <w:color w:val="6C6361"/>
                <w:sz w:val="8"/>
                <w:szCs w:val="8"/>
              </w:rPr>
            </w:pPr>
          </w:p>
        </w:tc>
        <w:tc>
          <w:tcPr>
            <w:tcW w:w="5976" w:type="dxa"/>
            <w:shd w:val="clear" w:color="auto" w:fill="FFFFFF"/>
            <w:vAlign w:val="center"/>
          </w:tcPr>
          <w:p w:rsidR="00485E65" w:rsidRPr="00D50772" w:rsidRDefault="00485E65" w:rsidP="00397FC5">
            <w:pPr>
              <w:spacing w:line="276" w:lineRule="auto"/>
              <w:rPr>
                <w:rFonts w:ascii="Arial" w:eastAsia="Times New Roman" w:hAnsi="Arial" w:cs="Arial"/>
                <w:noProof/>
                <w:sz w:val="20"/>
                <w:szCs w:val="20"/>
              </w:rPr>
            </w:pPr>
            <w:r w:rsidRPr="006408D2">
              <w:rPr>
                <w:rFonts w:ascii="Arial" w:eastAsia="Times New Roman" w:hAnsi="Arial" w:cs="Arial"/>
                <w:noProof/>
                <w:sz w:val="20"/>
                <w:szCs w:val="20"/>
              </w:rPr>
              <w:drawing>
                <wp:anchor distT="0" distB="0" distL="114300" distR="114300" simplePos="0" relativeHeight="251659264" behindDoc="0" locked="0" layoutInCell="1" allowOverlap="1" wp14:anchorId="06777CD9" wp14:editId="30FD4967">
                  <wp:simplePos x="0" y="0"/>
                  <wp:positionH relativeFrom="column">
                    <wp:posOffset>3176270</wp:posOffset>
                  </wp:positionH>
                  <wp:positionV relativeFrom="paragraph">
                    <wp:posOffset>-309880</wp:posOffset>
                  </wp:positionV>
                  <wp:extent cx="539750" cy="550545"/>
                  <wp:effectExtent l="0" t="0" r="0" b="190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FF5D393" wp14:editId="14C2A278">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rsidR="00485E65" w:rsidRPr="00E507B9" w:rsidRDefault="00485E65" w:rsidP="00485E65">
      <w:pPr>
        <w:spacing w:line="276" w:lineRule="auto"/>
        <w:jc w:val="left"/>
        <w:rPr>
          <w:rFonts w:ascii="Arial" w:hAnsi="Arial" w:cs="Arial"/>
          <w:sz w:val="12"/>
          <w:szCs w:val="18"/>
        </w:rPr>
      </w:pPr>
    </w:p>
    <w:tbl>
      <w:tblPr>
        <w:tblW w:w="10773" w:type="dxa"/>
        <w:jc w:val="center"/>
        <w:tblLook w:val="04A0" w:firstRow="1" w:lastRow="0" w:firstColumn="1" w:lastColumn="0" w:noHBand="0" w:noVBand="1"/>
      </w:tblPr>
      <w:tblGrid>
        <w:gridCol w:w="1985"/>
        <w:gridCol w:w="8788"/>
      </w:tblGrid>
      <w:tr w:rsidR="00485E65" w:rsidRPr="000F3FFC" w:rsidTr="00397FC5">
        <w:trPr>
          <w:trHeight w:val="2501"/>
          <w:jc w:val="center"/>
        </w:trPr>
        <w:tc>
          <w:tcPr>
            <w:tcW w:w="1985" w:type="dxa"/>
            <w:shd w:val="clear" w:color="auto" w:fill="FFFFFF"/>
            <w:vAlign w:val="center"/>
          </w:tcPr>
          <w:p w:rsidR="00485E65" w:rsidRPr="000F3FFC" w:rsidRDefault="00485E65" w:rsidP="00397FC5">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09DF9703" wp14:editId="61B0F128">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485E65" w:rsidRPr="00A71228" w:rsidRDefault="00485E65" w:rsidP="00397FC5">
            <w:pPr>
              <w:rPr>
                <w:rFonts w:ascii="Arial" w:hAnsi="Arial" w:cs="Arial"/>
                <w:color w:val="6C6361"/>
                <w:szCs w:val="21"/>
              </w:rPr>
            </w:pPr>
            <w:r w:rsidRPr="00A71228">
              <w:rPr>
                <w:rFonts w:ascii="Arial" w:hAnsi="Arial" w:cs="Arial"/>
                <w:color w:val="6C6361"/>
                <w:szCs w:val="21"/>
              </w:rPr>
              <w:t xml:space="preserve">Steven Gallagher was awarded a first class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A71228">
              <w:rPr>
                <w:rFonts w:ascii="Arial" w:hAnsi="Arial" w:cs="Arial"/>
                <w:color w:val="6C6361"/>
                <w:szCs w:val="21"/>
              </w:rPr>
              <w:t>programme</w:t>
            </w:r>
            <w:proofErr w:type="spellEnd"/>
            <w:r w:rsidRPr="00A71228">
              <w:rPr>
                <w:rFonts w:ascii="Arial" w:hAnsi="Arial" w:cs="Arial"/>
                <w:color w:val="6C6361"/>
                <w:szCs w:val="21"/>
              </w:rPr>
              <w:t>.  Steven has presented continuing professional development courses for solicitors in Hong Kong on many topics associated with equity.  Steven’s research interests include equity and the law of trusts, cultural heritage law and legal history.</w:t>
            </w:r>
          </w:p>
        </w:tc>
      </w:tr>
    </w:tbl>
    <w:p w:rsidR="00485E65" w:rsidRPr="00E507B9" w:rsidRDefault="00485E65" w:rsidP="00485E65">
      <w:pPr>
        <w:spacing w:line="276" w:lineRule="auto"/>
        <w:jc w:val="left"/>
        <w:rPr>
          <w:rFonts w:ascii="Arial" w:hAnsi="Arial" w:cs="Arial"/>
          <w:sz w:val="12"/>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485E65" w:rsidRPr="006408D2" w:rsidTr="00397FC5">
        <w:trPr>
          <w:trHeight w:val="2098"/>
          <w:jc w:val="center"/>
        </w:trPr>
        <w:tc>
          <w:tcPr>
            <w:tcW w:w="10773" w:type="dxa"/>
            <w:gridSpan w:val="2"/>
            <w:tcBorders>
              <w:top w:val="nil"/>
              <w:bottom w:val="nil"/>
            </w:tcBorders>
            <w:shd w:val="clear" w:color="auto" w:fill="FFFFFF" w:themeFill="background1"/>
            <w:vAlign w:val="center"/>
          </w:tcPr>
          <w:p w:rsidR="00485E65" w:rsidRPr="006408D2" w:rsidRDefault="00485E65" w:rsidP="00397FC5">
            <w:pPr>
              <w:spacing w:line="276" w:lineRule="auto"/>
              <w:rPr>
                <w:rFonts w:ascii="Arial" w:hAnsi="Arial" w:cs="Arial"/>
                <w:color w:val="6C6361"/>
                <w:sz w:val="21"/>
                <w:szCs w:val="21"/>
              </w:rPr>
            </w:pPr>
            <w:r w:rsidRPr="006408D2">
              <w:rPr>
                <w:rFonts w:ascii="Arial" w:hAnsi="Arial" w:cs="Arial"/>
                <w:color w:val="6C6361"/>
                <w:sz w:val="21"/>
                <w:szCs w:val="21"/>
              </w:rPr>
              <w:t xml:space="preserve">This three-hour course will consider Chinese custom and law in Hong Kong.  The seminar will consider how Chinese custom was introduced to the common law of Hong Kong, what Chinese custom was </w:t>
            </w:r>
            <w:proofErr w:type="spellStart"/>
            <w:r w:rsidRPr="006408D2">
              <w:rPr>
                <w:rFonts w:ascii="Arial" w:hAnsi="Arial" w:cs="Arial"/>
                <w:color w:val="6C6361"/>
                <w:sz w:val="21"/>
                <w:szCs w:val="21"/>
              </w:rPr>
              <w:t>recognised</w:t>
            </w:r>
            <w:proofErr w:type="spellEnd"/>
            <w:r w:rsidRPr="006408D2">
              <w:rPr>
                <w:rFonts w:ascii="Arial" w:hAnsi="Arial" w:cs="Arial"/>
                <w:color w:val="6C6361"/>
                <w:sz w:val="21"/>
                <w:szCs w:val="21"/>
              </w:rPr>
              <w:t xml:space="preserve"> by the laws of Hong Kong and how that recognition has developed the law and the custom.  The main focus of the seminar will be on the curious case of the Chinese customary trust - </w:t>
            </w:r>
            <w:proofErr w:type="spellStart"/>
            <w:r w:rsidRPr="006408D2">
              <w:rPr>
                <w:rFonts w:ascii="Arial" w:hAnsi="Arial" w:cs="Arial"/>
                <w:color w:val="6C6361"/>
                <w:sz w:val="21"/>
                <w:szCs w:val="21"/>
              </w:rPr>
              <w:t>recognised</w:t>
            </w:r>
            <w:proofErr w:type="spellEnd"/>
            <w:r w:rsidRPr="006408D2">
              <w:rPr>
                <w:rFonts w:ascii="Arial" w:hAnsi="Arial" w:cs="Arial"/>
                <w:color w:val="6C6361"/>
                <w:sz w:val="21"/>
                <w:szCs w:val="21"/>
              </w:rPr>
              <w:t xml:space="preserve"> only in the law of Hong Kong and only for land in the New Territories of Hong Kong.  We will consider whether these trusts, in particular the </w:t>
            </w:r>
            <w:proofErr w:type="spellStart"/>
            <w:r w:rsidRPr="006408D2">
              <w:rPr>
                <w:rFonts w:ascii="Arial" w:hAnsi="Arial" w:cs="Arial"/>
                <w:color w:val="6C6361"/>
                <w:sz w:val="21"/>
                <w:szCs w:val="21"/>
              </w:rPr>
              <w:t>t’so</w:t>
            </w:r>
            <w:proofErr w:type="spellEnd"/>
            <w:r w:rsidRPr="006408D2">
              <w:rPr>
                <w:rFonts w:ascii="Arial" w:hAnsi="Arial" w:cs="Arial"/>
                <w:color w:val="6C6361"/>
                <w:sz w:val="21"/>
                <w:szCs w:val="21"/>
              </w:rPr>
              <w:t xml:space="preserve"> and the </w:t>
            </w:r>
            <w:proofErr w:type="spellStart"/>
            <w:r w:rsidRPr="006408D2">
              <w:rPr>
                <w:rFonts w:ascii="Arial" w:hAnsi="Arial" w:cs="Arial"/>
                <w:color w:val="6C6361"/>
                <w:sz w:val="21"/>
                <w:szCs w:val="21"/>
              </w:rPr>
              <w:t>t’ong</w:t>
            </w:r>
            <w:proofErr w:type="spellEnd"/>
            <w:r w:rsidRPr="006408D2">
              <w:rPr>
                <w:rFonts w:ascii="Arial" w:hAnsi="Arial" w:cs="Arial"/>
                <w:color w:val="6C6361"/>
                <w:sz w:val="21"/>
                <w:szCs w:val="21"/>
              </w:rPr>
              <w:t>, are trusts, what these trusts may do, what obligations are on their managers, what rights their beneficiaries have, and how they may be created and brought to an end.</w:t>
            </w:r>
          </w:p>
        </w:tc>
      </w:tr>
      <w:tr w:rsidR="00485E65" w:rsidRPr="006408D2" w:rsidTr="00397FC5">
        <w:trPr>
          <w:trHeight w:val="340"/>
          <w:jc w:val="center"/>
        </w:trPr>
        <w:tc>
          <w:tcPr>
            <w:tcW w:w="10773" w:type="dxa"/>
            <w:gridSpan w:val="2"/>
            <w:tcBorders>
              <w:top w:val="nil"/>
              <w:bottom w:val="nil"/>
            </w:tcBorders>
            <w:shd w:val="clear" w:color="auto" w:fill="F0EBE1"/>
            <w:vAlign w:val="center"/>
          </w:tcPr>
          <w:p w:rsidR="00485E65" w:rsidRPr="006408D2" w:rsidRDefault="00485E65" w:rsidP="00397FC5">
            <w:pPr>
              <w:spacing w:line="276" w:lineRule="auto"/>
              <w:jc w:val="left"/>
              <w:rPr>
                <w:rFonts w:ascii="Arial" w:hAnsi="Arial" w:cs="Arial"/>
                <w:b/>
                <w:color w:val="524B48"/>
                <w:sz w:val="21"/>
                <w:szCs w:val="21"/>
              </w:rPr>
            </w:pPr>
            <w:r w:rsidRPr="006408D2">
              <w:rPr>
                <w:rFonts w:ascii="Arial" w:hAnsi="Arial" w:cs="Arial"/>
                <w:b/>
                <w:color w:val="524B48"/>
                <w:sz w:val="21"/>
                <w:szCs w:val="21"/>
              </w:rPr>
              <w:t>Some of the topics considered in this seminar include:</w:t>
            </w:r>
          </w:p>
        </w:tc>
      </w:tr>
      <w:tr w:rsidR="00485E65" w:rsidRPr="006408D2" w:rsidTr="00397FC5">
        <w:trPr>
          <w:trHeight w:val="2070"/>
          <w:jc w:val="center"/>
        </w:trPr>
        <w:tc>
          <w:tcPr>
            <w:tcW w:w="9072" w:type="dxa"/>
            <w:tcBorders>
              <w:top w:val="nil"/>
              <w:bottom w:val="nil"/>
              <w:right w:val="nil"/>
            </w:tcBorders>
            <w:shd w:val="clear" w:color="auto" w:fill="FFFFFF" w:themeFill="background1"/>
            <w:vAlign w:val="center"/>
          </w:tcPr>
          <w:p w:rsidR="00485E65" w:rsidRPr="006408D2" w:rsidRDefault="00485E65" w:rsidP="00397FC5">
            <w:pPr>
              <w:pStyle w:val="ListParagraph"/>
              <w:numPr>
                <w:ilvl w:val="0"/>
                <w:numId w:val="2"/>
              </w:numPr>
              <w:spacing w:line="276" w:lineRule="auto"/>
              <w:jc w:val="left"/>
              <w:rPr>
                <w:rFonts w:ascii="Arial" w:hAnsi="Arial" w:cs="Arial"/>
                <w:color w:val="6C6361"/>
                <w:sz w:val="21"/>
                <w:szCs w:val="21"/>
              </w:rPr>
            </w:pPr>
            <w:r w:rsidRPr="006408D2">
              <w:rPr>
                <w:rFonts w:ascii="Arial" w:hAnsi="Arial" w:cs="Arial"/>
                <w:color w:val="6C6361"/>
                <w:sz w:val="21"/>
                <w:szCs w:val="21"/>
              </w:rPr>
              <w:t xml:space="preserve">What Chinese custom has been </w:t>
            </w:r>
            <w:proofErr w:type="spellStart"/>
            <w:r w:rsidRPr="006408D2">
              <w:rPr>
                <w:rFonts w:ascii="Arial" w:hAnsi="Arial" w:cs="Arial"/>
                <w:color w:val="6C6361"/>
                <w:sz w:val="21"/>
                <w:szCs w:val="21"/>
              </w:rPr>
              <w:t>recognised</w:t>
            </w:r>
            <w:proofErr w:type="spellEnd"/>
            <w:r w:rsidRPr="006408D2">
              <w:rPr>
                <w:rFonts w:ascii="Arial" w:hAnsi="Arial" w:cs="Arial"/>
                <w:color w:val="6C6361"/>
                <w:sz w:val="21"/>
                <w:szCs w:val="21"/>
              </w:rPr>
              <w:t xml:space="preserve"> in the law of Hong Kong;</w:t>
            </w:r>
          </w:p>
          <w:p w:rsidR="00485E65" w:rsidRPr="006408D2" w:rsidRDefault="00485E65" w:rsidP="00397FC5">
            <w:pPr>
              <w:pStyle w:val="ListParagraph"/>
              <w:numPr>
                <w:ilvl w:val="0"/>
                <w:numId w:val="2"/>
              </w:numPr>
              <w:spacing w:line="276" w:lineRule="auto"/>
              <w:jc w:val="left"/>
              <w:rPr>
                <w:rFonts w:ascii="Arial" w:hAnsi="Arial" w:cs="Arial"/>
                <w:color w:val="6C6361"/>
                <w:sz w:val="21"/>
                <w:szCs w:val="21"/>
              </w:rPr>
            </w:pPr>
            <w:r w:rsidRPr="006408D2">
              <w:rPr>
                <w:rFonts w:ascii="Arial" w:hAnsi="Arial" w:cs="Arial"/>
                <w:color w:val="6C6361"/>
                <w:sz w:val="21"/>
                <w:szCs w:val="21"/>
              </w:rPr>
              <w:t>How has that recognition changed;</w:t>
            </w:r>
          </w:p>
          <w:p w:rsidR="00485E65" w:rsidRPr="006408D2" w:rsidRDefault="00485E65" w:rsidP="00397FC5">
            <w:pPr>
              <w:pStyle w:val="ListParagraph"/>
              <w:numPr>
                <w:ilvl w:val="0"/>
                <w:numId w:val="2"/>
              </w:numPr>
              <w:spacing w:line="276" w:lineRule="auto"/>
              <w:jc w:val="left"/>
              <w:rPr>
                <w:rFonts w:ascii="Arial" w:hAnsi="Arial" w:cs="Arial"/>
                <w:color w:val="6C6361"/>
                <w:sz w:val="21"/>
                <w:szCs w:val="21"/>
              </w:rPr>
            </w:pPr>
            <w:r w:rsidRPr="006408D2">
              <w:rPr>
                <w:rFonts w:ascii="Arial" w:hAnsi="Arial" w:cs="Arial"/>
                <w:color w:val="6C6361"/>
                <w:sz w:val="21"/>
                <w:szCs w:val="21"/>
              </w:rPr>
              <w:t xml:space="preserve">Chinese customary trusts- the </w:t>
            </w:r>
            <w:proofErr w:type="spellStart"/>
            <w:r w:rsidRPr="006408D2">
              <w:rPr>
                <w:rFonts w:ascii="Arial" w:hAnsi="Arial" w:cs="Arial"/>
                <w:color w:val="6C6361"/>
                <w:sz w:val="21"/>
                <w:szCs w:val="21"/>
              </w:rPr>
              <w:t>t’so</w:t>
            </w:r>
            <w:proofErr w:type="spellEnd"/>
            <w:r w:rsidRPr="006408D2">
              <w:rPr>
                <w:rFonts w:ascii="Arial" w:hAnsi="Arial" w:cs="Arial"/>
                <w:color w:val="6C6361"/>
                <w:sz w:val="21"/>
                <w:szCs w:val="21"/>
              </w:rPr>
              <w:t xml:space="preserve"> and the </w:t>
            </w:r>
            <w:proofErr w:type="spellStart"/>
            <w:r w:rsidRPr="006408D2">
              <w:rPr>
                <w:rFonts w:ascii="Arial" w:hAnsi="Arial" w:cs="Arial"/>
                <w:color w:val="6C6361"/>
                <w:sz w:val="21"/>
                <w:szCs w:val="21"/>
              </w:rPr>
              <w:t>t’ong</w:t>
            </w:r>
            <w:proofErr w:type="spellEnd"/>
            <w:r w:rsidRPr="006408D2">
              <w:rPr>
                <w:rFonts w:ascii="Arial" w:hAnsi="Arial" w:cs="Arial"/>
                <w:color w:val="6C6361"/>
                <w:sz w:val="21"/>
                <w:szCs w:val="21"/>
              </w:rPr>
              <w:t>;</w:t>
            </w:r>
          </w:p>
          <w:p w:rsidR="00485E65" w:rsidRPr="006408D2" w:rsidRDefault="00485E65" w:rsidP="00397FC5">
            <w:pPr>
              <w:pStyle w:val="ListParagraph"/>
              <w:numPr>
                <w:ilvl w:val="0"/>
                <w:numId w:val="2"/>
              </w:numPr>
              <w:spacing w:line="276" w:lineRule="auto"/>
              <w:jc w:val="left"/>
              <w:rPr>
                <w:rFonts w:ascii="Arial" w:hAnsi="Arial" w:cs="Arial"/>
                <w:color w:val="6C6361"/>
                <w:sz w:val="21"/>
                <w:szCs w:val="21"/>
              </w:rPr>
            </w:pPr>
            <w:r w:rsidRPr="006408D2">
              <w:rPr>
                <w:rFonts w:ascii="Arial" w:hAnsi="Arial" w:cs="Arial"/>
                <w:color w:val="6C6361"/>
                <w:sz w:val="21"/>
                <w:szCs w:val="21"/>
              </w:rPr>
              <w:t>How are they formed;</w:t>
            </w:r>
          </w:p>
          <w:p w:rsidR="00485E65" w:rsidRPr="006408D2" w:rsidRDefault="00485E65" w:rsidP="00397FC5">
            <w:pPr>
              <w:pStyle w:val="ListParagraph"/>
              <w:numPr>
                <w:ilvl w:val="0"/>
                <w:numId w:val="2"/>
              </w:numPr>
              <w:spacing w:line="276" w:lineRule="auto"/>
              <w:jc w:val="left"/>
              <w:rPr>
                <w:rFonts w:ascii="Arial" w:hAnsi="Arial" w:cs="Arial"/>
                <w:color w:val="6C6361"/>
                <w:sz w:val="21"/>
                <w:szCs w:val="21"/>
              </w:rPr>
            </w:pPr>
            <w:r w:rsidRPr="006408D2">
              <w:rPr>
                <w:rFonts w:ascii="Arial" w:hAnsi="Arial" w:cs="Arial"/>
                <w:color w:val="6C6361"/>
                <w:sz w:val="21"/>
                <w:szCs w:val="21"/>
              </w:rPr>
              <w:t>Are Chinese customary trusts really trusts?</w:t>
            </w:r>
          </w:p>
          <w:p w:rsidR="00485E65" w:rsidRPr="006408D2" w:rsidRDefault="00485E65" w:rsidP="00397FC5">
            <w:pPr>
              <w:pStyle w:val="ListParagraph"/>
              <w:numPr>
                <w:ilvl w:val="0"/>
                <w:numId w:val="2"/>
              </w:numPr>
              <w:spacing w:line="276" w:lineRule="auto"/>
              <w:jc w:val="left"/>
              <w:rPr>
                <w:rFonts w:ascii="Arial" w:hAnsi="Arial" w:cs="Arial"/>
                <w:color w:val="6C6361"/>
                <w:sz w:val="21"/>
                <w:szCs w:val="21"/>
              </w:rPr>
            </w:pPr>
            <w:proofErr w:type="spellStart"/>
            <w:r w:rsidRPr="006408D2">
              <w:rPr>
                <w:rFonts w:ascii="Arial" w:hAnsi="Arial" w:cs="Arial"/>
                <w:color w:val="6C6361"/>
                <w:sz w:val="21"/>
                <w:szCs w:val="21"/>
              </w:rPr>
              <w:t>T’so</w:t>
            </w:r>
            <w:proofErr w:type="spellEnd"/>
            <w:r w:rsidRPr="006408D2">
              <w:rPr>
                <w:rFonts w:ascii="Arial" w:hAnsi="Arial" w:cs="Arial"/>
                <w:color w:val="6C6361"/>
                <w:sz w:val="21"/>
                <w:szCs w:val="21"/>
              </w:rPr>
              <w:t xml:space="preserve"> and </w:t>
            </w:r>
            <w:proofErr w:type="spellStart"/>
            <w:r w:rsidRPr="006408D2">
              <w:rPr>
                <w:rFonts w:ascii="Arial" w:hAnsi="Arial" w:cs="Arial"/>
                <w:color w:val="6C6361"/>
                <w:sz w:val="21"/>
                <w:szCs w:val="21"/>
              </w:rPr>
              <w:t>t’ong</w:t>
            </w:r>
            <w:proofErr w:type="spellEnd"/>
            <w:r w:rsidRPr="006408D2">
              <w:rPr>
                <w:rFonts w:ascii="Arial" w:hAnsi="Arial" w:cs="Arial"/>
                <w:color w:val="6C6361"/>
                <w:sz w:val="21"/>
                <w:szCs w:val="21"/>
              </w:rPr>
              <w:t xml:space="preserve"> managers as trustees;</w:t>
            </w:r>
          </w:p>
          <w:p w:rsidR="00485E65" w:rsidRPr="006408D2" w:rsidRDefault="00485E65" w:rsidP="00397FC5">
            <w:pPr>
              <w:pStyle w:val="ListParagraph"/>
              <w:numPr>
                <w:ilvl w:val="0"/>
                <w:numId w:val="2"/>
              </w:numPr>
              <w:spacing w:line="276" w:lineRule="auto"/>
              <w:jc w:val="left"/>
              <w:rPr>
                <w:rFonts w:ascii="Arial" w:hAnsi="Arial" w:cs="Arial"/>
                <w:color w:val="6C6361"/>
                <w:sz w:val="21"/>
                <w:szCs w:val="21"/>
              </w:rPr>
            </w:pPr>
            <w:r w:rsidRPr="006408D2">
              <w:rPr>
                <w:rFonts w:ascii="Arial" w:hAnsi="Arial" w:cs="Arial"/>
                <w:color w:val="6C6361"/>
                <w:sz w:val="21"/>
                <w:szCs w:val="21"/>
              </w:rPr>
              <w:t>How Chinese customary trusts may be brought to an end.</w:t>
            </w:r>
          </w:p>
        </w:tc>
        <w:tc>
          <w:tcPr>
            <w:tcW w:w="1701" w:type="dxa"/>
            <w:tcBorders>
              <w:top w:val="nil"/>
              <w:left w:val="nil"/>
              <w:bottom w:val="nil"/>
            </w:tcBorders>
            <w:shd w:val="clear" w:color="auto" w:fill="FFFFFF" w:themeFill="background1"/>
            <w:vAlign w:val="center"/>
          </w:tcPr>
          <w:p w:rsidR="00485E65" w:rsidRPr="006408D2" w:rsidRDefault="00485E65" w:rsidP="00397FC5">
            <w:pPr>
              <w:spacing w:line="276" w:lineRule="auto"/>
              <w:jc w:val="center"/>
              <w:rPr>
                <w:rFonts w:ascii="Arial" w:hAnsi="Arial" w:cs="Arial"/>
                <w:color w:val="6C6361"/>
                <w:sz w:val="21"/>
                <w:szCs w:val="21"/>
              </w:rPr>
            </w:pPr>
            <w:r w:rsidRPr="006408D2">
              <w:rPr>
                <w:rFonts w:ascii="Arial" w:hAnsi="Arial" w:cs="Arial"/>
                <w:noProof/>
                <w:color w:val="6C6361"/>
                <w:sz w:val="21"/>
                <w:szCs w:val="21"/>
              </w:rPr>
              <w:drawing>
                <wp:inline distT="0" distB="0" distL="0" distR="0" wp14:anchorId="5C2065AB" wp14:editId="61E93EAA">
                  <wp:extent cx="892800" cy="10224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485E65" w:rsidRPr="00B22B8F" w:rsidRDefault="00485E65" w:rsidP="00680C81">
      <w:pPr>
        <w:spacing w:line="276" w:lineRule="auto"/>
        <w:rPr>
          <w:rFonts w:ascii="Arial" w:hAnsi="Arial" w:cs="Arial"/>
          <w:sz w:val="12"/>
          <w:szCs w:val="12"/>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370"/>
        <w:gridCol w:w="1315"/>
      </w:tblGrid>
      <w:tr w:rsidR="00485E65" w:rsidRPr="00320F79" w:rsidTr="00D16A04">
        <w:trPr>
          <w:trHeight w:val="340"/>
          <w:jc w:val="center"/>
        </w:trPr>
        <w:tc>
          <w:tcPr>
            <w:tcW w:w="1701" w:type="dxa"/>
            <w:tcBorders>
              <w:top w:val="nil"/>
              <w:left w:val="nil"/>
              <w:bottom w:val="single" w:sz="12" w:space="0" w:color="FFFFFF"/>
            </w:tcBorders>
            <w:shd w:val="clear" w:color="auto" w:fill="F0EBE1"/>
            <w:vAlign w:val="center"/>
          </w:tcPr>
          <w:p w:rsidR="00485E65" w:rsidRPr="00320F79" w:rsidRDefault="00485E65" w:rsidP="0048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rsidR="00485E65" w:rsidRPr="00320F79" w:rsidRDefault="00485E65" w:rsidP="0048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EVT000000322</w:t>
            </w:r>
          </w:p>
        </w:tc>
        <w:tc>
          <w:tcPr>
            <w:tcW w:w="1701" w:type="dxa"/>
            <w:tcBorders>
              <w:top w:val="nil"/>
              <w:bottom w:val="single" w:sz="12" w:space="0" w:color="FFFFFF"/>
            </w:tcBorders>
            <w:shd w:val="clear" w:color="auto" w:fill="F0EBE1"/>
            <w:vAlign w:val="center"/>
          </w:tcPr>
          <w:p w:rsidR="00485E65" w:rsidRPr="00320F79" w:rsidRDefault="00485E65" w:rsidP="0048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485E65" w:rsidRPr="00320F79" w:rsidRDefault="00485E65" w:rsidP="0048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485E65" w:rsidRPr="00320F79" w:rsidTr="00D16A04">
        <w:trPr>
          <w:trHeight w:val="340"/>
          <w:jc w:val="center"/>
        </w:trPr>
        <w:tc>
          <w:tcPr>
            <w:tcW w:w="1701" w:type="dxa"/>
            <w:tcBorders>
              <w:top w:val="single" w:sz="12" w:space="0" w:color="FFFFFF"/>
              <w:left w:val="nil"/>
              <w:bottom w:val="single" w:sz="12" w:space="0" w:color="FFFFFF"/>
            </w:tcBorders>
            <w:shd w:val="clear" w:color="auto" w:fill="F0EBE1"/>
            <w:vAlign w:val="center"/>
          </w:tcPr>
          <w:p w:rsidR="00485E65" w:rsidRPr="00320F79" w:rsidRDefault="00485E65" w:rsidP="0048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rsidR="00485E65" w:rsidRPr="00320F79" w:rsidRDefault="00485E65" w:rsidP="0048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12 October 2020 (Monday)</w:t>
            </w:r>
          </w:p>
        </w:tc>
        <w:tc>
          <w:tcPr>
            <w:tcW w:w="1701" w:type="dxa"/>
            <w:tcBorders>
              <w:top w:val="single" w:sz="12" w:space="0" w:color="FFFFFF"/>
              <w:bottom w:val="single" w:sz="12" w:space="0" w:color="FFFFFF"/>
            </w:tcBorders>
            <w:shd w:val="clear" w:color="auto" w:fill="F0EBE1"/>
            <w:vAlign w:val="center"/>
          </w:tcPr>
          <w:p w:rsidR="00485E65" w:rsidRPr="00320F79" w:rsidRDefault="00485E65" w:rsidP="0048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485E65" w:rsidRPr="00320F79" w:rsidRDefault="00485E65" w:rsidP="0048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485E65" w:rsidRPr="00320F79" w:rsidTr="00D16A04">
        <w:trPr>
          <w:trHeight w:val="340"/>
          <w:jc w:val="center"/>
        </w:trPr>
        <w:tc>
          <w:tcPr>
            <w:tcW w:w="1701" w:type="dxa"/>
            <w:tcBorders>
              <w:top w:val="single" w:sz="12" w:space="0" w:color="FFFFFF"/>
              <w:left w:val="nil"/>
              <w:bottom w:val="single" w:sz="12" w:space="0" w:color="FFFFFF"/>
            </w:tcBorders>
            <w:shd w:val="clear" w:color="auto" w:fill="F0EBE1"/>
            <w:vAlign w:val="center"/>
          </w:tcPr>
          <w:p w:rsidR="00485E65" w:rsidRPr="00320F79" w:rsidRDefault="00485E65" w:rsidP="0048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rsidR="00485E65" w:rsidRPr="00320F79" w:rsidRDefault="00485E65" w:rsidP="0048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rsidR="00485E65" w:rsidRPr="00320F79" w:rsidRDefault="00485E65" w:rsidP="0048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485E65" w:rsidRPr="00320F79" w:rsidRDefault="00485E65" w:rsidP="0048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485E65" w:rsidRPr="00E843DA" w:rsidRDefault="00485E65" w:rsidP="00485E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LSHK</w:t>
            </w:r>
            <w:r>
              <w:rPr>
                <w:rFonts w:ascii="Arial" w:hAnsi="Arial" w:cs="Arial"/>
                <w:b/>
                <w:color w:val="6C6361"/>
                <w:sz w:val="20"/>
                <w:szCs w:val="20"/>
              </w:rPr>
              <w:t xml:space="preserve"> 3.0 CPD Points</w:t>
            </w:r>
          </w:p>
        </w:tc>
      </w:tr>
      <w:tr w:rsidR="004502F7" w:rsidRPr="00320F79" w:rsidTr="0053000F">
        <w:trPr>
          <w:trHeight w:val="397"/>
          <w:jc w:val="center"/>
        </w:trPr>
        <w:tc>
          <w:tcPr>
            <w:tcW w:w="1701" w:type="dxa"/>
            <w:tcBorders>
              <w:top w:val="single" w:sz="12" w:space="0" w:color="FFFFFF"/>
              <w:left w:val="nil"/>
              <w:bottom w:val="nil"/>
            </w:tcBorders>
            <w:shd w:val="clear" w:color="auto" w:fill="F0EBE1"/>
            <w:vAlign w:val="center"/>
          </w:tcPr>
          <w:p w:rsidR="004502F7" w:rsidRPr="00320F79"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rsidR="004502F7" w:rsidRPr="00320F79"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b/>
                <w:color w:val="6C6361"/>
                <w:sz w:val="20"/>
                <w:szCs w:val="20"/>
              </w:rPr>
              <w:t>Online</w:t>
            </w:r>
            <w:r w:rsidRPr="00093BBD">
              <w:rPr>
                <w:rFonts w:ascii="Arial" w:hAnsi="Arial" w:cs="Arial"/>
                <w:color w:val="6C6361"/>
                <w:sz w:val="20"/>
                <w:szCs w:val="20"/>
              </w:rPr>
              <w:t xml:space="preserve"> via Zoom</w:t>
            </w:r>
          </w:p>
        </w:tc>
        <w:tc>
          <w:tcPr>
            <w:tcW w:w="1701" w:type="dxa"/>
            <w:tcBorders>
              <w:top w:val="single" w:sz="12" w:space="0" w:color="FFFFFF"/>
              <w:bottom w:val="nil"/>
            </w:tcBorders>
            <w:shd w:val="clear" w:color="auto" w:fill="F0EBE1"/>
            <w:vAlign w:val="center"/>
          </w:tcPr>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4502F7" w:rsidRPr="003A2A41"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4502F7" w:rsidRPr="00156567" w:rsidRDefault="004502F7" w:rsidP="00450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4C74AA0" wp14:editId="0C869C4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C81" w:rsidRDefault="00214BC6" w:rsidP="00680C81">
      <w:pPr>
        <w:rPr>
          <w:sz w:val="2"/>
          <w:szCs w:val="2"/>
        </w:rPr>
      </w:pPr>
    </w:p>
    <w:sectPr w:rsidR="00214BC6" w:rsidRPr="00680C81"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C56" w:rsidRDefault="00077C56" w:rsidP="00546556">
      <w:r>
        <w:separator/>
      </w:r>
    </w:p>
  </w:endnote>
  <w:endnote w:type="continuationSeparator" w:id="0">
    <w:p w:rsidR="00077C56" w:rsidRDefault="00077C5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C56" w:rsidRDefault="00077C56" w:rsidP="00546556">
      <w:r>
        <w:separator/>
      </w:r>
    </w:p>
  </w:footnote>
  <w:footnote w:type="continuationSeparator" w:id="0">
    <w:p w:rsidR="00077C56" w:rsidRDefault="00077C56"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HNqjlalWE7PrKyiVpYlFvL5CiAAyNWT+840QrWIr6T+oKqt7pJ3eb5xsQN+l3+lzsZJDBOvJNvltOfQnn/uhpw==" w:salt="+IT+Skc4nGLVhxLjZbeU5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77C56"/>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57C"/>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5E65"/>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18F6"/>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22/"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A1813-7830-46AE-9E81-073A2F12C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CPD Course: Unjust Enrichment: Does it Exist and if So, What is it, Where is it Going and Can We Humanely Dispose of it?</vt:lpstr>
    </vt:vector>
  </TitlesOfParts>
  <Manager>Tyrone Tsang</Manager>
  <Company>The Profectional Company Limited</Company>
  <LinksUpToDate>false</LinksUpToDate>
  <CharactersWithSpaces>2302</CharactersWithSpaces>
  <SharedDoc>false</SharedDoc>
  <HyperlinkBase>http://download.profectional.com/events/EVT000000322.docx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Chinese Custom and Law in Hong Kong and the Curious Case of the Chinese Customary Trust</dc:title>
  <dc:subject>CPD Course: Chinese Custom and Law in Hong Kong and the Curious Case of the Chinese Customary Trust</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56</cp:revision>
  <cp:lastPrinted>2020-10-10T05:34:00Z</cp:lastPrinted>
  <dcterms:created xsi:type="dcterms:W3CDTF">2017-01-12T02:41:00Z</dcterms:created>
  <dcterms:modified xsi:type="dcterms:W3CDTF">2020-10-10T05:34:00Z</dcterms:modified>
</cp:coreProperties>
</file>