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AAE" w:rsidRPr="00381AAE" w:rsidRDefault="00381AAE" w:rsidP="00381AAE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381AAE" w:rsidRPr="00523A64" w:rsidTr="00101E18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381AAE" w:rsidRPr="001A3018" w:rsidRDefault="00381AAE" w:rsidP="00101E18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381AAE" w:rsidRDefault="00381AAE" w:rsidP="00101E18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"http://cpd.hk/evt000000327/"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Employment Strategies</w:t>
            </w:r>
          </w:p>
          <w:p w:rsidR="00381AAE" w:rsidRPr="00CF685C" w:rsidRDefault="00381AAE" w:rsidP="00101E18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0C4183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for the New Normal</w:t>
            </w:r>
          </w:p>
          <w:p w:rsidR="00381AAE" w:rsidRPr="00C65AFD" w:rsidRDefault="00381AAE" w:rsidP="00101E1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381AAE" w:rsidRPr="00C65AFD" w:rsidRDefault="00381AAE" w:rsidP="00101E18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381AAE" w:rsidRDefault="00381AAE" w:rsidP="00101E18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Ms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Winnie Chiu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381AAE" w:rsidRDefault="00381AAE" w:rsidP="00101E18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Partner,</w:t>
            </w:r>
          </w:p>
          <w:p w:rsidR="00381AAE" w:rsidRPr="00D87ECF" w:rsidRDefault="00381AAE" w:rsidP="00101E18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  <w:r w:rsidRPr="000C4183">
              <w:rPr>
                <w:rFonts w:ascii="Arial" w:hAnsi="Arial" w:cs="Arial"/>
                <w:color w:val="6C6361"/>
                <w:sz w:val="24"/>
                <w:szCs w:val="24"/>
              </w:rPr>
              <w:t>Yang Chan &amp; Jamison LLP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381AAE" w:rsidRPr="00D50772" w:rsidRDefault="00381AAE" w:rsidP="00101E18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1A2AF8">
              <w:rPr>
                <w:rStyle w:val="Hyperlink"/>
                <w:rFonts w:ascii="Arial" w:hAnsi="Arial" w:cs="Arial"/>
                <w:b/>
                <w:bCs/>
                <w:noProof/>
                <w:color w:val="524B48"/>
                <w:sz w:val="32"/>
                <w:szCs w:val="32"/>
                <w:u w:val="none"/>
              </w:rPr>
              <w:drawing>
                <wp:anchor distT="0" distB="0" distL="114300" distR="114300" simplePos="0" relativeHeight="251659264" behindDoc="0" locked="0" layoutInCell="1" allowOverlap="1" wp14:anchorId="06A2FAF0" wp14:editId="3581715A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-56515</wp:posOffset>
                  </wp:positionV>
                  <wp:extent cx="539750" cy="550545"/>
                  <wp:effectExtent l="0" t="0" r="0" b="1905"/>
                  <wp:wrapNone/>
                  <wp:docPr id="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1E64AF5" wp14:editId="3AD67ADC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AAE" w:rsidRPr="00AB0C6E" w:rsidRDefault="00381AAE" w:rsidP="00381AAE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381AAE" w:rsidRPr="00AB0C6E" w:rsidTr="00101E18">
        <w:trPr>
          <w:trHeight w:val="4272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381AAE" w:rsidRPr="00AB0C6E" w:rsidRDefault="00381AAE" w:rsidP="00101E18">
            <w:pPr>
              <w:spacing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AB0C6E">
              <w:rPr>
                <w:rFonts w:ascii="Arial" w:hAnsi="Arial" w:cs="Arial"/>
                <w:noProof/>
                <w:sz w:val="23"/>
                <w:szCs w:val="23"/>
              </w:rPr>
              <w:drawing>
                <wp:inline distT="0" distB="0" distL="0" distR="0" wp14:anchorId="51342C4D" wp14:editId="599472C4">
                  <wp:extent cx="1079997" cy="1439996"/>
                  <wp:effectExtent l="0" t="0" r="6350" b="8255"/>
                  <wp:docPr id="8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L000010952_2014012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7" cy="14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381AAE" w:rsidRPr="00AB0C6E" w:rsidRDefault="00381AAE" w:rsidP="00101E18">
            <w:pPr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Winnie has solid experience in handling contentious and non-contentious employment matters as well as anti-discriminations, sexual harassment and personal data privacy related issues arising from recruitment, merger &amp; acquisition, restructuring and/or post-termination restrictive covenants.  She regularly conducts seminars and training sessions for HR directors, professionals and international companies.</w:t>
            </w:r>
          </w:p>
          <w:p w:rsidR="00381AAE" w:rsidRPr="00AB0C6E" w:rsidRDefault="00381AAE" w:rsidP="00101E18">
            <w:pPr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381AAE" w:rsidRPr="00AB0C6E" w:rsidRDefault="00381AAE" w:rsidP="00101E18">
            <w:pPr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Winnie also has extensive experience in Succession Planning, Will, Trust and Probate related matters. She also handles disputes between beneficiaries; beneficiaries and the executor/administrator/trustee.</w:t>
            </w:r>
          </w:p>
          <w:p w:rsidR="00381AAE" w:rsidRPr="00AB0C6E" w:rsidRDefault="00381AAE" w:rsidP="00101E18">
            <w:pPr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381AAE" w:rsidRPr="00AB0C6E" w:rsidRDefault="00381AAE" w:rsidP="00101E18">
            <w:pPr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Winnie is a frequent speaker at seminars in Hong Kong, PRC and other jurisdictions in relation to Employment related matters as well as Succession Planning.</w:t>
            </w:r>
          </w:p>
          <w:p w:rsidR="00381AAE" w:rsidRPr="00AB0C6E" w:rsidRDefault="00381AAE" w:rsidP="00101E18">
            <w:pPr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381AAE" w:rsidRPr="00AB0C6E" w:rsidRDefault="00381AAE" w:rsidP="00101E18">
            <w:pPr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Prior to joining Yang Chan &amp; Jamison LLP, Winnie had acted as a partner of various leading law firms, and she had also worked as an in-house lawyer for an international trust company in Hong Kong.</w:t>
            </w:r>
          </w:p>
        </w:tc>
      </w:tr>
    </w:tbl>
    <w:p w:rsidR="00381AAE" w:rsidRPr="00AB0C6E" w:rsidRDefault="00381AAE" w:rsidP="00381AAE">
      <w:pPr>
        <w:spacing w:line="276" w:lineRule="auto"/>
        <w:jc w:val="left"/>
        <w:rPr>
          <w:rFonts w:ascii="Arial" w:hAnsi="Arial" w:cs="Arial"/>
          <w:sz w:val="20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9057"/>
        <w:gridCol w:w="1716"/>
      </w:tblGrid>
      <w:tr w:rsidR="00381AAE" w:rsidRPr="00AB0C6E" w:rsidTr="00101E18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381AAE" w:rsidRPr="00AB0C6E" w:rsidRDefault="00381AAE" w:rsidP="00101E18">
            <w:pPr>
              <w:rPr>
                <w:rFonts w:ascii="Arial" w:hAnsi="Arial" w:cs="Arial"/>
                <w:b/>
                <w:color w:val="524B48"/>
                <w:sz w:val="23"/>
                <w:szCs w:val="23"/>
              </w:rPr>
            </w:pPr>
            <w:r w:rsidRPr="00AB0C6E">
              <w:rPr>
                <w:rFonts w:ascii="Arial" w:hAnsi="Arial" w:cs="Arial"/>
                <w:b/>
                <w:color w:val="524B48"/>
                <w:sz w:val="23"/>
                <w:szCs w:val="23"/>
              </w:rPr>
              <w:t>This course will cover the followings:</w:t>
            </w:r>
          </w:p>
        </w:tc>
      </w:tr>
      <w:tr w:rsidR="00381AAE" w:rsidRPr="00AB0C6E" w:rsidTr="00101E18">
        <w:trPr>
          <w:trHeight w:val="2593"/>
          <w:jc w:val="center"/>
        </w:trPr>
        <w:tc>
          <w:tcPr>
            <w:tcW w:w="905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381AAE" w:rsidRPr="00AB0C6E" w:rsidRDefault="00381AAE" w:rsidP="00101E18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Tailor-made Special Work Arrangements</w:t>
            </w:r>
          </w:p>
          <w:p w:rsidR="00381AAE" w:rsidRPr="00AB0C6E" w:rsidRDefault="00381AAE" w:rsidP="00101E18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Back to Basics or Hybrid Operation?</w:t>
            </w:r>
          </w:p>
          <w:p w:rsidR="00381AAE" w:rsidRPr="00AB0C6E" w:rsidRDefault="00381AAE" w:rsidP="00101E18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Contractual and Statutory Duties and Rights</w:t>
            </w:r>
          </w:p>
          <w:p w:rsidR="00381AAE" w:rsidRPr="00AB0C6E" w:rsidRDefault="00381AAE" w:rsidP="00101E18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Global Deployment</w:t>
            </w:r>
          </w:p>
          <w:p w:rsidR="00381AAE" w:rsidRPr="00AB0C6E" w:rsidRDefault="00381AAE" w:rsidP="00101E18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Local Transfer</w:t>
            </w:r>
          </w:p>
          <w:p w:rsidR="00381AAE" w:rsidRPr="00AB0C6E" w:rsidRDefault="00381AAE" w:rsidP="00101E18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Restructuring and Separation</w:t>
            </w:r>
          </w:p>
          <w:p w:rsidR="00381AAE" w:rsidRPr="00AB0C6E" w:rsidRDefault="00381AAE" w:rsidP="00101E18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Risk Avoidance and Risk Management</w:t>
            </w:r>
          </w:p>
          <w:p w:rsidR="00381AAE" w:rsidRPr="00AB0C6E" w:rsidRDefault="00381AAE" w:rsidP="00101E18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Consultants and Independent Contractors?</w:t>
            </w:r>
          </w:p>
          <w:p w:rsidR="00381AAE" w:rsidRPr="00AB0C6E" w:rsidRDefault="00381AAE" w:rsidP="00101E18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AB0C6E">
              <w:rPr>
                <w:rFonts w:ascii="Arial" w:hAnsi="Arial" w:cs="Arial"/>
                <w:color w:val="6C6361"/>
                <w:sz w:val="23"/>
                <w:szCs w:val="23"/>
              </w:rPr>
              <w:t>New Legislations and Future Development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381AAE" w:rsidRDefault="00381AAE" w:rsidP="00101E18">
            <w:pPr>
              <w:rPr>
                <w:rFonts w:ascii="Arial" w:hAnsi="Arial" w:cs="Arial"/>
                <w:color w:val="6C6361"/>
                <w:sz w:val="23"/>
                <w:szCs w:val="23"/>
              </w:rPr>
            </w:pPr>
          </w:p>
          <w:p w:rsidR="00381AAE" w:rsidRPr="00AB0C6E" w:rsidRDefault="00381AAE" w:rsidP="00101E18">
            <w:pPr>
              <w:rPr>
                <w:rFonts w:ascii="Arial" w:hAnsi="Arial" w:cs="Arial"/>
                <w:color w:val="6C6361"/>
                <w:sz w:val="23"/>
                <w:szCs w:val="23"/>
              </w:rPr>
            </w:pPr>
          </w:p>
          <w:p w:rsidR="00381AAE" w:rsidRPr="00AB0C6E" w:rsidRDefault="00381AAE" w:rsidP="00101E18">
            <w:pPr>
              <w:rPr>
                <w:rFonts w:ascii="Arial" w:hAnsi="Arial" w:cs="Arial"/>
                <w:color w:val="6C6361"/>
                <w:sz w:val="23"/>
                <w:szCs w:val="23"/>
              </w:rPr>
            </w:pPr>
            <w:r w:rsidRPr="001A2AF8">
              <w:rPr>
                <w:noProof/>
                <w:sz w:val="23"/>
                <w:szCs w:val="23"/>
              </w:rPr>
              <w:drawing>
                <wp:inline distT="0" distB="0" distL="0" distR="0" wp14:anchorId="2F03BF84" wp14:editId="3DD6FD86">
                  <wp:extent cx="892800" cy="1022400"/>
                  <wp:effectExtent l="0" t="0" r="317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AAE" w:rsidRDefault="00381AAE" w:rsidP="00C86992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1"/>
        <w:gridCol w:w="3669"/>
        <w:gridCol w:w="1700"/>
        <w:gridCol w:w="2473"/>
        <w:gridCol w:w="1239"/>
      </w:tblGrid>
      <w:tr w:rsidR="00381AAE" w:rsidRPr="00320F79" w:rsidTr="00381AAE">
        <w:trPr>
          <w:trHeight w:val="397"/>
          <w:jc w:val="center"/>
        </w:trPr>
        <w:tc>
          <w:tcPr>
            <w:tcW w:w="169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69" w:type="dxa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EVT000000327</w:t>
            </w:r>
          </w:p>
        </w:tc>
        <w:tc>
          <w:tcPr>
            <w:tcW w:w="170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12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381AAE" w:rsidRPr="00320F79" w:rsidTr="00381AAE">
        <w:trPr>
          <w:trHeight w:val="397"/>
          <w:jc w:val="center"/>
        </w:trPr>
        <w:tc>
          <w:tcPr>
            <w:tcW w:w="169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69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25 September 2020 (Friday)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12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381AAE" w:rsidRPr="00320F79" w:rsidTr="00381AAE">
        <w:trPr>
          <w:trHeight w:val="397"/>
          <w:jc w:val="center"/>
        </w:trPr>
        <w:tc>
          <w:tcPr>
            <w:tcW w:w="169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69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381AAE" w:rsidRPr="000762CF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12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381AAE" w:rsidRPr="00393E7C" w:rsidRDefault="00381AAE" w:rsidP="00381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3.0 CPD Points</w:t>
            </w:r>
          </w:p>
        </w:tc>
      </w:tr>
      <w:tr w:rsidR="00381AAE" w:rsidRPr="00320F79" w:rsidTr="007C7CEA">
        <w:trPr>
          <w:trHeight w:val="1247"/>
          <w:jc w:val="center"/>
        </w:trPr>
        <w:tc>
          <w:tcPr>
            <w:tcW w:w="169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381AAE" w:rsidRPr="00320F79" w:rsidRDefault="00381AAE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3669" w:type="dxa"/>
            <w:tcBorders>
              <w:top w:val="single" w:sz="12" w:space="0" w:color="F0EBE1"/>
              <w:bottom w:val="nil"/>
            </w:tcBorders>
            <w:shd w:val="clear" w:color="auto" w:fill="FFFFFF"/>
            <w:vAlign w:val="center"/>
          </w:tcPr>
          <w:p w:rsidR="00381AAE" w:rsidRPr="00381AAE" w:rsidRDefault="00381AAE" w:rsidP="00381AAE">
            <w:pPr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4A4C9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Online</w:t>
            </w:r>
            <w:r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  <w:t xml:space="preserve"> via Zoom</w:t>
            </w:r>
          </w:p>
        </w:tc>
        <w:tc>
          <w:tcPr>
            <w:tcW w:w="170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381AAE" w:rsidRPr="00E14341" w:rsidRDefault="00381AAE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381AAE" w:rsidRPr="00E14341" w:rsidRDefault="00381AAE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73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381AAE" w:rsidRPr="00E14341" w:rsidRDefault="00381AAE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4" w:history="1">
              <w:r w:rsidRPr="00E143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381AAE" w:rsidRPr="00E14341" w:rsidRDefault="00381AAE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81AAE" w:rsidRPr="00156567" w:rsidRDefault="00381AAE" w:rsidP="00037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53E213A5" wp14:editId="23187816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C86992" w:rsidRDefault="00214BC6" w:rsidP="00C86992"/>
    <w:sectPr w:rsidR="00214BC6" w:rsidRPr="00C86992" w:rsidSect="000F34E0">
      <w:headerReference w:type="default" r:id="rId16"/>
      <w:footerReference w:type="default" r:id="rId17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851" w:rsidRDefault="002A0851" w:rsidP="00546556">
      <w:r>
        <w:separator/>
      </w:r>
    </w:p>
  </w:endnote>
  <w:endnote w:type="continuationSeparator" w:id="0">
    <w:p w:rsidR="002A0851" w:rsidRDefault="002A0851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851" w:rsidRDefault="002A0851" w:rsidP="00546556">
      <w:r>
        <w:separator/>
      </w:r>
    </w:p>
  </w:footnote>
  <w:footnote w:type="continuationSeparator" w:id="0">
    <w:p w:rsidR="002A0851" w:rsidRDefault="002A0851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DU1N9Gd105ZfsAx893O7f2ECRA6OsrwnIpbWjYS+rP3noM9q/NLwrEDlP5PQGtCsaprT639KnMEUkkhWsNFTSw==" w:salt="OpnR2Iv3d9gC/z2UMjhLz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610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C7C96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0F7F26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342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2AB4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0851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AAE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3F7AB3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4F2B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666B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26D5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66D8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2C0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70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2469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3BB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444F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296D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2B1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2AD5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992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6901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01310/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27/" TargetMode="External"/><Relationship Id="rId14" Type="http://schemas.openxmlformats.org/officeDocument/2006/relationships/hyperlink" Target="mailto:marketing@profectiona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7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8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EA273-7835-49EF-B36A-D74210850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Employment Law Update: Recruitment to Post-Termination</vt:lpstr>
    </vt:vector>
  </TitlesOfParts>
  <Manager>Tyrone Tsang</Manager>
  <Company>The Profectional Company Limited</Company>
  <LinksUpToDate>false</LinksUpToDate>
  <CharactersWithSpaces>1830</CharactersWithSpaces>
  <SharedDoc>false</SharedDoc>
  <HyperlinkBase>http://download.profectional.com/events/EVT000000327.docx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Employment Strategies for the New Normal</dc:title>
  <dc:subject>CPD Course: Employment Strategies for the New Normal</dc:subject>
  <dc:creator>The Profectional Company Limited</dc:creator>
  <cp:keywords>Profectional; Kornerstone; CPD; CPT; CLE; CE; RME; Ms Winnie Chiu; Partner; Li &amp; Partners</cp:keywords>
  <cp:lastModifiedBy>Tyrone Tsang</cp:lastModifiedBy>
  <cp:revision>20</cp:revision>
  <cp:lastPrinted>2020-09-23T08:27:00Z</cp:lastPrinted>
  <dcterms:created xsi:type="dcterms:W3CDTF">2015-05-28T16:29:00Z</dcterms:created>
  <dcterms:modified xsi:type="dcterms:W3CDTF">2020-09-23T08:27:00Z</dcterms:modified>
</cp:coreProperties>
</file>