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7C8969" w14:textId="77777777" w:rsidR="00DC6769" w:rsidRPr="00DC6769" w:rsidRDefault="00DC6769" w:rsidP="00DC6769">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DC6769" w:rsidRPr="00523A64" w14:paraId="7CF7809E" w14:textId="77777777" w:rsidTr="009147F3">
        <w:trPr>
          <w:trHeight w:val="3119"/>
          <w:jc w:val="center"/>
        </w:trPr>
        <w:tc>
          <w:tcPr>
            <w:tcW w:w="4797" w:type="dxa"/>
            <w:shd w:val="clear" w:color="auto" w:fill="FFFFFF"/>
            <w:vAlign w:val="center"/>
          </w:tcPr>
          <w:p w14:paraId="49B05C08" w14:textId="77777777" w:rsidR="00DC6769" w:rsidRPr="001A3018" w:rsidRDefault="00DC6769" w:rsidP="009147F3">
            <w:pPr>
              <w:jc w:val="center"/>
              <w:rPr>
                <w:rFonts w:ascii="Arial" w:hAnsi="Arial" w:cs="Arial"/>
                <w:b/>
                <w:bCs/>
                <w:color w:val="524B48"/>
                <w:sz w:val="4"/>
                <w:szCs w:val="4"/>
              </w:rPr>
            </w:pPr>
          </w:p>
          <w:p w14:paraId="0DC78569" w14:textId="77777777" w:rsidR="00DC6769" w:rsidRDefault="00DC6769" w:rsidP="009147F3">
            <w:pPr>
              <w:jc w:val="center"/>
              <w:rPr>
                <w:rStyle w:val="Hyperlink"/>
                <w:rFonts w:ascii="Arial" w:hAnsi="Arial" w:cs="Arial"/>
                <w:b/>
                <w:bCs/>
                <w:color w:val="524B48"/>
                <w:sz w:val="32"/>
                <w:szCs w:val="32"/>
                <w:u w:val="none"/>
              </w:rPr>
            </w:pPr>
            <w:r w:rsidRPr="00CF685C">
              <w:fldChar w:fldCharType="begin"/>
            </w:r>
            <w:r>
              <w:instrText>HYPERLINK "http://cpd.hk/evt000000344/"</w:instrText>
            </w:r>
            <w:r w:rsidRPr="00CF685C">
              <w:fldChar w:fldCharType="separate"/>
            </w:r>
            <w:r w:rsidRPr="00D92FF4">
              <w:rPr>
                <w:rStyle w:val="Hyperlink"/>
                <w:rFonts w:ascii="Arial" w:hAnsi="Arial" w:cs="Arial"/>
                <w:b/>
                <w:bCs/>
                <w:color w:val="524B48"/>
                <w:sz w:val="32"/>
                <w:szCs w:val="32"/>
                <w:u w:val="none"/>
              </w:rPr>
              <w:t>Balancing Reserved Powers</w:t>
            </w:r>
            <w:r>
              <w:rPr>
                <w:rStyle w:val="Hyperlink"/>
                <w:rFonts w:ascii="Arial" w:hAnsi="Arial" w:cs="Arial"/>
                <w:b/>
                <w:bCs/>
                <w:color w:val="524B48"/>
                <w:sz w:val="32"/>
                <w:szCs w:val="32"/>
                <w:u w:val="none"/>
              </w:rPr>
              <w:br/>
            </w:r>
            <w:r w:rsidRPr="00D92FF4">
              <w:rPr>
                <w:rStyle w:val="Hyperlink"/>
                <w:rFonts w:ascii="Arial" w:hAnsi="Arial" w:cs="Arial"/>
                <w:b/>
                <w:bCs/>
                <w:color w:val="524B48"/>
                <w:sz w:val="32"/>
                <w:szCs w:val="32"/>
                <w:u w:val="none"/>
              </w:rPr>
              <w:t>with Fiduciary Duties</w:t>
            </w:r>
            <w:r>
              <w:rPr>
                <w:rStyle w:val="Hyperlink"/>
                <w:rFonts w:ascii="Arial" w:hAnsi="Arial" w:cs="Arial"/>
                <w:b/>
                <w:bCs/>
                <w:color w:val="524B48"/>
                <w:sz w:val="32"/>
                <w:szCs w:val="32"/>
                <w:u w:val="none"/>
              </w:rPr>
              <w:br/>
            </w:r>
            <w:r w:rsidRPr="00D92FF4">
              <w:rPr>
                <w:rStyle w:val="Hyperlink"/>
                <w:rFonts w:ascii="Arial" w:hAnsi="Arial" w:cs="Arial"/>
                <w:b/>
                <w:bCs/>
                <w:color w:val="524B48"/>
                <w:sz w:val="32"/>
                <w:szCs w:val="32"/>
                <w:u w:val="none"/>
              </w:rPr>
              <w:t>- The Practical</w:t>
            </w:r>
            <w:r>
              <w:rPr>
                <w:rStyle w:val="Hyperlink"/>
                <w:rFonts w:ascii="Arial" w:hAnsi="Arial" w:cs="Arial"/>
                <w:b/>
                <w:bCs/>
                <w:color w:val="524B48"/>
                <w:sz w:val="32"/>
                <w:szCs w:val="32"/>
                <w:u w:val="none"/>
              </w:rPr>
              <w:br/>
            </w:r>
            <w:r w:rsidRPr="00D92FF4">
              <w:rPr>
                <w:rStyle w:val="Hyperlink"/>
                <w:rFonts w:ascii="Arial" w:hAnsi="Arial" w:cs="Arial"/>
                <w:b/>
                <w:bCs/>
                <w:color w:val="524B48"/>
                <w:sz w:val="32"/>
                <w:szCs w:val="32"/>
                <w:u w:val="none"/>
              </w:rPr>
              <w:t>and Other Issues</w:t>
            </w:r>
          </w:p>
          <w:p w14:paraId="3A55D334" w14:textId="77777777" w:rsidR="00DC6769" w:rsidRPr="00C65AFD" w:rsidRDefault="00DC6769" w:rsidP="009147F3">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0994455D" w14:textId="77777777" w:rsidR="00DC6769" w:rsidRPr="00C65AFD" w:rsidRDefault="00DC6769" w:rsidP="009147F3">
            <w:pPr>
              <w:jc w:val="center"/>
              <w:rPr>
                <w:rFonts w:ascii="Arial" w:hAnsi="Arial" w:cs="Arial"/>
                <w:i/>
                <w:color w:val="6C6361"/>
                <w:sz w:val="24"/>
                <w:szCs w:val="24"/>
              </w:rPr>
            </w:pPr>
            <w:r w:rsidRPr="00C65AFD">
              <w:rPr>
                <w:rFonts w:ascii="Arial" w:hAnsi="Arial" w:cs="Arial"/>
                <w:i/>
                <w:color w:val="6C6361"/>
                <w:sz w:val="24"/>
                <w:szCs w:val="24"/>
              </w:rPr>
              <w:t>by</w:t>
            </w:r>
          </w:p>
          <w:p w14:paraId="1835C19A" w14:textId="77777777" w:rsidR="00DC6769" w:rsidRDefault="00DC6769" w:rsidP="009147F3">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6150E8FD" w14:textId="77777777" w:rsidR="00DC6769" w:rsidRDefault="00DC6769" w:rsidP="009147F3">
            <w:pPr>
              <w:jc w:val="center"/>
              <w:rPr>
                <w:rFonts w:ascii="Arial" w:hAnsi="Arial" w:cs="Arial"/>
                <w:color w:val="6C6361"/>
                <w:sz w:val="24"/>
                <w:szCs w:val="24"/>
              </w:rPr>
            </w:pPr>
            <w:r>
              <w:rPr>
                <w:rFonts w:ascii="Arial" w:hAnsi="Arial" w:cs="Arial"/>
                <w:color w:val="6C6361"/>
                <w:sz w:val="24"/>
                <w:szCs w:val="24"/>
              </w:rPr>
              <w:t>Professor of Practice in Law,</w:t>
            </w:r>
          </w:p>
          <w:p w14:paraId="78072D04" w14:textId="77777777" w:rsidR="00DC6769" w:rsidRDefault="00DC6769" w:rsidP="009147F3">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4656DD00" w14:textId="77777777" w:rsidR="00DC6769" w:rsidRDefault="00DC6769" w:rsidP="009147F3">
            <w:pPr>
              <w:jc w:val="center"/>
              <w:rPr>
                <w:rFonts w:ascii="Arial" w:hAnsi="Arial" w:cs="Arial"/>
                <w:color w:val="6C6361"/>
                <w:sz w:val="24"/>
                <w:szCs w:val="24"/>
              </w:rPr>
            </w:pPr>
            <w:r>
              <w:rPr>
                <w:rFonts w:ascii="Arial" w:hAnsi="Arial" w:cs="Arial"/>
                <w:color w:val="6C6361"/>
                <w:sz w:val="24"/>
                <w:szCs w:val="24"/>
              </w:rPr>
              <w:t>The Faculty of Law,</w:t>
            </w:r>
          </w:p>
          <w:p w14:paraId="0D692E3B" w14:textId="77777777" w:rsidR="00DC6769" w:rsidRPr="007E02E6" w:rsidRDefault="00DC6769" w:rsidP="009147F3">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171F501F" w14:textId="77777777" w:rsidR="00DC6769" w:rsidRPr="00D87ECF" w:rsidRDefault="00DC6769" w:rsidP="009147F3">
            <w:pPr>
              <w:jc w:val="center"/>
              <w:rPr>
                <w:rFonts w:ascii="Arial" w:hAnsi="Arial" w:cs="Arial"/>
                <w:color w:val="6C6361"/>
                <w:sz w:val="8"/>
                <w:szCs w:val="8"/>
              </w:rPr>
            </w:pPr>
          </w:p>
        </w:tc>
        <w:tc>
          <w:tcPr>
            <w:tcW w:w="5976" w:type="dxa"/>
            <w:shd w:val="clear" w:color="auto" w:fill="FFFFFF"/>
            <w:vAlign w:val="center"/>
          </w:tcPr>
          <w:p w14:paraId="27518211" w14:textId="77777777" w:rsidR="00DC6769" w:rsidRPr="00D50772" w:rsidRDefault="00DC6769" w:rsidP="009147F3">
            <w:pPr>
              <w:spacing w:line="276" w:lineRule="auto"/>
              <w:rPr>
                <w:rFonts w:ascii="Arial" w:eastAsia="Times New Roman" w:hAnsi="Arial" w:cs="Arial"/>
                <w:noProof/>
                <w:sz w:val="20"/>
                <w:szCs w:val="20"/>
              </w:rPr>
            </w:pPr>
            <w:r w:rsidRPr="00D831F0">
              <w:rPr>
                <w:rFonts w:ascii="Arial" w:eastAsia="Times New Roman" w:hAnsi="Arial" w:cs="Arial"/>
                <w:noProof/>
                <w:sz w:val="20"/>
                <w:szCs w:val="20"/>
              </w:rPr>
              <w:drawing>
                <wp:anchor distT="0" distB="0" distL="114300" distR="114300" simplePos="0" relativeHeight="251659264" behindDoc="0" locked="0" layoutInCell="1" allowOverlap="1" wp14:anchorId="7E20A4BC" wp14:editId="455CCDC3">
                  <wp:simplePos x="0" y="0"/>
                  <wp:positionH relativeFrom="column">
                    <wp:posOffset>3177540</wp:posOffset>
                  </wp:positionH>
                  <wp:positionV relativeFrom="paragraph">
                    <wp:posOffset>-187960</wp:posOffset>
                  </wp:positionV>
                  <wp:extent cx="539750" cy="539750"/>
                  <wp:effectExtent l="0" t="0" r="6350" b="6350"/>
                  <wp:wrapNone/>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44E8949" wp14:editId="23F56806">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3E0E2150" w14:textId="77777777" w:rsidR="00DC6769" w:rsidRPr="00972E19" w:rsidRDefault="00DC6769" w:rsidP="00DC6769">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DC6769" w:rsidRPr="000F3FFC" w14:paraId="3F65783F" w14:textId="77777777" w:rsidTr="009147F3">
        <w:trPr>
          <w:trHeight w:val="2515"/>
          <w:jc w:val="center"/>
        </w:trPr>
        <w:tc>
          <w:tcPr>
            <w:tcW w:w="1985" w:type="dxa"/>
            <w:shd w:val="clear" w:color="auto" w:fill="FFFFFF"/>
            <w:vAlign w:val="center"/>
          </w:tcPr>
          <w:p w14:paraId="3F20D3E7" w14:textId="77777777" w:rsidR="00DC6769" w:rsidRPr="000F3FFC" w:rsidRDefault="00DC6769" w:rsidP="009147F3">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18A471FE" wp14:editId="77B5DF82">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696E1696" w14:textId="77777777" w:rsidR="00DC6769" w:rsidRPr="001900E2" w:rsidRDefault="00DC6769" w:rsidP="009147F3">
            <w:pPr>
              <w:rPr>
                <w:rFonts w:ascii="Arial" w:hAnsi="Arial" w:cs="Arial"/>
                <w:color w:val="6C6361"/>
                <w:sz w:val="21"/>
                <w:szCs w:val="21"/>
              </w:rPr>
            </w:pPr>
            <w:r w:rsidRPr="00227800">
              <w:rPr>
                <w:rFonts w:ascii="Arial" w:hAnsi="Arial" w:cs="Arial"/>
                <w:color w:val="6C6361"/>
                <w:sz w:val="24"/>
                <w:szCs w:val="21"/>
              </w:rPr>
              <w:t xml:space="preserve">Steven Gallagher was awarded a first class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227800">
              <w:rPr>
                <w:rFonts w:ascii="Arial" w:hAnsi="Arial" w:cs="Arial"/>
                <w:color w:val="6C6361"/>
                <w:sz w:val="24"/>
                <w:szCs w:val="21"/>
              </w:rPr>
              <w:t>programme</w:t>
            </w:r>
            <w:proofErr w:type="spellEnd"/>
            <w:r w:rsidRPr="00227800">
              <w:rPr>
                <w:rFonts w:ascii="Arial" w:hAnsi="Arial" w:cs="Arial"/>
                <w:color w:val="6C6361"/>
                <w:sz w:val="24"/>
                <w:szCs w:val="21"/>
              </w:rPr>
              <w:t>.  Steven has presented continuing professional development courses for solicitors in Hong Kong on many topics associated with equity.  Steven’s research interests include equity and the law of trusts, cultural heritage law and legal history.</w:t>
            </w:r>
          </w:p>
        </w:tc>
      </w:tr>
    </w:tbl>
    <w:p w14:paraId="32C2D71D" w14:textId="77777777" w:rsidR="00DC6769" w:rsidRPr="00972E19" w:rsidRDefault="00DC6769" w:rsidP="00DC6769">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DC6769" w:rsidRPr="00972E19" w14:paraId="7CBC94DF" w14:textId="77777777" w:rsidTr="009147F3">
        <w:trPr>
          <w:trHeight w:val="5749"/>
          <w:jc w:val="center"/>
        </w:trPr>
        <w:tc>
          <w:tcPr>
            <w:tcW w:w="10773" w:type="dxa"/>
            <w:tcBorders>
              <w:top w:val="nil"/>
              <w:bottom w:val="nil"/>
              <w:right w:val="nil"/>
            </w:tcBorders>
            <w:shd w:val="clear" w:color="auto" w:fill="FFFFFF" w:themeFill="background1"/>
            <w:vAlign w:val="center"/>
          </w:tcPr>
          <w:p w14:paraId="77C33F49" w14:textId="77777777" w:rsidR="00DC6769" w:rsidRPr="00972E19" w:rsidRDefault="00DC6769" w:rsidP="009147F3">
            <w:pPr>
              <w:spacing w:line="276" w:lineRule="auto"/>
              <w:rPr>
                <w:rFonts w:ascii="Arial" w:hAnsi="Arial" w:cs="Arial"/>
                <w:color w:val="6C6361"/>
                <w:sz w:val="24"/>
                <w:szCs w:val="20"/>
              </w:rPr>
            </w:pPr>
            <w:r w:rsidRPr="00972E19">
              <w:rPr>
                <w:rFonts w:ascii="Arial" w:hAnsi="Arial" w:cs="Arial"/>
                <w:color w:val="6C6361"/>
                <w:sz w:val="24"/>
                <w:szCs w:val="20"/>
              </w:rPr>
              <w:t>Reserved power trusts are increasingly popular with settlors wishing to retain control over their property while still distancing themselves for tax planning and asset protection purposes.  However, there may be issues with reserving certain powers and/or reserving too much power for themselves - including whether there is actually a trust.  Further issues arise when settlors adopt the role of protector for the trust, again reserving powers which may be inconsistent with a trust, and which they may exercise without a fiduciary obligation.</w:t>
            </w:r>
          </w:p>
          <w:p w14:paraId="185FC5DD" w14:textId="77777777" w:rsidR="00DC6769" w:rsidRPr="00972E19" w:rsidRDefault="00DC6769" w:rsidP="009147F3">
            <w:pPr>
              <w:spacing w:line="276" w:lineRule="auto"/>
              <w:rPr>
                <w:rFonts w:ascii="Arial" w:hAnsi="Arial" w:cs="Arial"/>
                <w:color w:val="6C6361"/>
                <w:sz w:val="24"/>
                <w:szCs w:val="20"/>
              </w:rPr>
            </w:pPr>
          </w:p>
          <w:p w14:paraId="2D3669F5" w14:textId="77777777" w:rsidR="00DC6769" w:rsidRPr="00972E19" w:rsidRDefault="00DC6769" w:rsidP="009147F3">
            <w:pPr>
              <w:spacing w:line="276" w:lineRule="auto"/>
              <w:rPr>
                <w:rFonts w:ascii="Arial" w:hAnsi="Arial" w:cs="Arial"/>
                <w:color w:val="6C6361"/>
                <w:sz w:val="24"/>
                <w:szCs w:val="20"/>
              </w:rPr>
            </w:pPr>
            <w:r w:rsidRPr="00972E19">
              <w:rPr>
                <w:rFonts w:ascii="Arial" w:hAnsi="Arial" w:cs="Arial"/>
                <w:color w:val="6C6361"/>
                <w:sz w:val="24"/>
                <w:szCs w:val="20"/>
              </w:rPr>
              <w:t>Trustees face consequent issues with their obligation to comply with the reserved powers and possible conflict with their fiduciary duties to the trust and the potential beneficiaries.  In particular, these trusts often involve shares in an underlying company as the main subject matter of the trust.  The Bartlett duty of supervision has made it common practice to include “anti-Bartlett” clauses in trusts to cancel this duty, coupled with exclusion clauses to protect the trustee from liability for not interfering in the supervision of the underlying company.</w:t>
            </w:r>
          </w:p>
          <w:p w14:paraId="1B8B9819" w14:textId="77777777" w:rsidR="00DC6769" w:rsidRPr="00972E19" w:rsidRDefault="00DC6769" w:rsidP="009147F3">
            <w:pPr>
              <w:spacing w:line="276" w:lineRule="auto"/>
              <w:rPr>
                <w:rFonts w:ascii="Arial" w:hAnsi="Arial" w:cs="Arial"/>
                <w:color w:val="6C6361"/>
                <w:sz w:val="24"/>
                <w:szCs w:val="20"/>
              </w:rPr>
            </w:pPr>
          </w:p>
          <w:p w14:paraId="5556C47B" w14:textId="77777777" w:rsidR="00DC6769" w:rsidRPr="00972E19" w:rsidRDefault="00DC6769" w:rsidP="009147F3">
            <w:pPr>
              <w:spacing w:line="276" w:lineRule="auto"/>
              <w:rPr>
                <w:rFonts w:ascii="Arial" w:hAnsi="Arial" w:cs="Arial"/>
                <w:b/>
                <w:color w:val="524B48"/>
                <w:sz w:val="24"/>
                <w:szCs w:val="20"/>
              </w:rPr>
            </w:pPr>
            <w:r w:rsidRPr="00972E19">
              <w:rPr>
                <w:rFonts w:ascii="Arial" w:hAnsi="Arial" w:cs="Arial"/>
                <w:color w:val="6C6361"/>
                <w:sz w:val="24"/>
                <w:szCs w:val="20"/>
              </w:rPr>
              <w:t>This seminar considers how a settlor may reserve control over the trust and how a trustee may mitigate their fiduciary obligations.  The seminar will conclude by considering whether a settlor should retain control over a trust and whether a trustee should mitigate their fiduciary obligations.</w:t>
            </w:r>
          </w:p>
        </w:tc>
      </w:tr>
    </w:tbl>
    <w:p w14:paraId="69A82852" w14:textId="77777777" w:rsidR="00DC6769" w:rsidRDefault="00DC6769" w:rsidP="00DC6769">
      <w:pPr>
        <w:spacing w:line="276" w:lineRule="auto"/>
        <w:jc w:val="left"/>
        <w:rPr>
          <w:rFonts w:ascii="Arial" w:hAnsi="Arial" w:cs="Arial"/>
          <w:sz w:val="20"/>
          <w:szCs w:val="20"/>
        </w:rPr>
      </w:pPr>
    </w:p>
    <w:p w14:paraId="731FAE9F" w14:textId="77777777" w:rsidR="00DC6769" w:rsidRDefault="00DC6769" w:rsidP="00DC6769">
      <w:pPr>
        <w:spacing w:line="276" w:lineRule="auto"/>
        <w:jc w:val="left"/>
        <w:rPr>
          <w:rFonts w:ascii="Arial" w:hAnsi="Arial" w:cs="Arial"/>
          <w:sz w:val="20"/>
          <w:szCs w:val="20"/>
        </w:rPr>
      </w:pPr>
    </w:p>
    <w:p w14:paraId="217B0BFD" w14:textId="77777777" w:rsidR="00DC6769" w:rsidRDefault="00DC6769" w:rsidP="00DC6769">
      <w:pPr>
        <w:spacing w:line="276" w:lineRule="auto"/>
        <w:jc w:val="left"/>
        <w:rPr>
          <w:rFonts w:ascii="Arial" w:hAnsi="Arial" w:cs="Arial"/>
          <w:sz w:val="20"/>
          <w:szCs w:val="20"/>
        </w:rPr>
      </w:pPr>
    </w:p>
    <w:p w14:paraId="0887B710" w14:textId="77777777" w:rsidR="00DC6769" w:rsidRDefault="00DC6769" w:rsidP="00DC6769">
      <w:pPr>
        <w:spacing w:line="276" w:lineRule="auto"/>
        <w:jc w:val="left"/>
        <w:rPr>
          <w:rFonts w:ascii="Arial" w:hAnsi="Arial" w:cs="Arial"/>
          <w:sz w:val="20"/>
          <w:szCs w:val="20"/>
        </w:rPr>
      </w:pPr>
    </w:p>
    <w:p w14:paraId="1D8BAEAF" w14:textId="77777777" w:rsidR="00DC6769" w:rsidRDefault="00DC6769" w:rsidP="00DC6769">
      <w:pPr>
        <w:spacing w:line="276" w:lineRule="auto"/>
        <w:jc w:val="left"/>
        <w:rPr>
          <w:rFonts w:ascii="Arial" w:hAnsi="Arial" w:cs="Arial"/>
          <w:sz w:val="20"/>
          <w:szCs w:val="20"/>
        </w:rPr>
      </w:pPr>
    </w:p>
    <w:p w14:paraId="12B929B9" w14:textId="77777777" w:rsidR="00DC6769" w:rsidRPr="00972E19" w:rsidRDefault="00DC6769" w:rsidP="00DC6769">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DC6769" w:rsidRPr="00972E19" w14:paraId="763F7B59" w14:textId="77777777" w:rsidTr="009147F3">
        <w:trPr>
          <w:trHeight w:val="397"/>
          <w:jc w:val="center"/>
        </w:trPr>
        <w:tc>
          <w:tcPr>
            <w:tcW w:w="10773" w:type="dxa"/>
            <w:gridSpan w:val="2"/>
            <w:tcBorders>
              <w:top w:val="nil"/>
              <w:bottom w:val="nil"/>
              <w:right w:val="nil"/>
            </w:tcBorders>
            <w:shd w:val="clear" w:color="auto" w:fill="F0EBE1"/>
            <w:vAlign w:val="center"/>
          </w:tcPr>
          <w:p w14:paraId="64824FE2" w14:textId="77777777" w:rsidR="00DC6769" w:rsidRPr="00972E19" w:rsidRDefault="00DC6769" w:rsidP="009147F3">
            <w:pPr>
              <w:spacing w:line="276" w:lineRule="auto"/>
              <w:rPr>
                <w:rFonts w:ascii="Arial" w:hAnsi="Arial" w:cs="Arial"/>
                <w:b/>
                <w:color w:val="524B48"/>
                <w:sz w:val="24"/>
                <w:szCs w:val="20"/>
              </w:rPr>
            </w:pPr>
            <w:r w:rsidRPr="00972E19">
              <w:rPr>
                <w:rFonts w:ascii="Arial" w:hAnsi="Arial" w:cs="Arial"/>
                <w:b/>
                <w:color w:val="524B48"/>
                <w:sz w:val="24"/>
                <w:szCs w:val="20"/>
              </w:rPr>
              <w:lastRenderedPageBreak/>
              <w:t>Some of the topics considered in this seminar will be:</w:t>
            </w:r>
          </w:p>
        </w:tc>
      </w:tr>
      <w:tr w:rsidR="00DC6769" w:rsidRPr="00972E19" w14:paraId="171AE71B" w14:textId="77777777" w:rsidTr="009147F3">
        <w:trPr>
          <w:trHeight w:val="5406"/>
          <w:jc w:val="center"/>
        </w:trPr>
        <w:tc>
          <w:tcPr>
            <w:tcW w:w="9072" w:type="dxa"/>
            <w:tcBorders>
              <w:top w:val="nil"/>
              <w:bottom w:val="nil"/>
            </w:tcBorders>
            <w:shd w:val="clear" w:color="auto" w:fill="FFFFFF" w:themeFill="background1"/>
            <w:vAlign w:val="center"/>
          </w:tcPr>
          <w:p w14:paraId="7C6BF4E6" w14:textId="77777777" w:rsidR="00DC6769" w:rsidRPr="00972E19" w:rsidRDefault="00DC6769" w:rsidP="009147F3">
            <w:pPr>
              <w:pStyle w:val="ListParagraph"/>
              <w:numPr>
                <w:ilvl w:val="0"/>
                <w:numId w:val="1"/>
              </w:numPr>
              <w:spacing w:line="276" w:lineRule="auto"/>
              <w:ind w:right="-108"/>
              <w:jc w:val="left"/>
              <w:rPr>
                <w:rFonts w:ascii="Arial" w:hAnsi="Arial" w:cs="Arial"/>
                <w:color w:val="6C6361"/>
                <w:sz w:val="24"/>
                <w:szCs w:val="20"/>
              </w:rPr>
            </w:pPr>
            <w:r w:rsidRPr="00972E19">
              <w:rPr>
                <w:rFonts w:ascii="Arial" w:hAnsi="Arial" w:cs="Arial"/>
                <w:color w:val="6C6361"/>
                <w:sz w:val="24"/>
                <w:szCs w:val="20"/>
              </w:rPr>
              <w:t>What powers may a settlor reserve?</w:t>
            </w:r>
          </w:p>
          <w:p w14:paraId="549F073A" w14:textId="77777777" w:rsidR="00DC6769" w:rsidRPr="00972E19" w:rsidRDefault="00DC6769" w:rsidP="009147F3">
            <w:pPr>
              <w:pStyle w:val="ListParagraph"/>
              <w:numPr>
                <w:ilvl w:val="0"/>
                <w:numId w:val="1"/>
              </w:numPr>
              <w:spacing w:line="276" w:lineRule="auto"/>
              <w:ind w:right="-108"/>
              <w:jc w:val="left"/>
              <w:rPr>
                <w:rFonts w:ascii="Arial" w:hAnsi="Arial" w:cs="Arial"/>
                <w:color w:val="6C6361"/>
                <w:sz w:val="24"/>
                <w:szCs w:val="20"/>
              </w:rPr>
            </w:pPr>
            <w:r w:rsidRPr="00972E19">
              <w:rPr>
                <w:rFonts w:ascii="Arial" w:hAnsi="Arial" w:cs="Arial"/>
                <w:color w:val="6C6361"/>
                <w:sz w:val="24"/>
                <w:szCs w:val="20"/>
              </w:rPr>
              <w:t>When will reserve powers affect the recognition of the trust;</w:t>
            </w:r>
          </w:p>
          <w:p w14:paraId="73E516A8" w14:textId="77777777" w:rsidR="00DC6769" w:rsidRPr="00972E19" w:rsidRDefault="00DC6769" w:rsidP="009147F3">
            <w:pPr>
              <w:pStyle w:val="ListParagraph"/>
              <w:numPr>
                <w:ilvl w:val="0"/>
                <w:numId w:val="1"/>
              </w:numPr>
              <w:spacing w:line="276" w:lineRule="auto"/>
              <w:ind w:right="-108"/>
              <w:jc w:val="left"/>
              <w:rPr>
                <w:rFonts w:ascii="Arial" w:hAnsi="Arial" w:cs="Arial"/>
                <w:color w:val="6C6361"/>
                <w:sz w:val="24"/>
                <w:szCs w:val="20"/>
              </w:rPr>
            </w:pPr>
            <w:r w:rsidRPr="00972E19">
              <w:rPr>
                <w:rFonts w:ascii="Arial" w:hAnsi="Arial" w:cs="Arial"/>
                <w:color w:val="6C6361"/>
                <w:sz w:val="24"/>
                <w:szCs w:val="20"/>
              </w:rPr>
              <w:t xml:space="preserve">The power of revocation after </w:t>
            </w:r>
            <w:proofErr w:type="spellStart"/>
            <w:r w:rsidRPr="00972E19">
              <w:rPr>
                <w:rFonts w:ascii="Arial" w:hAnsi="Arial" w:cs="Arial"/>
                <w:color w:val="6C6361"/>
                <w:sz w:val="24"/>
                <w:szCs w:val="20"/>
              </w:rPr>
              <w:t>Tasarruf</w:t>
            </w:r>
            <w:proofErr w:type="spellEnd"/>
            <w:r w:rsidRPr="00972E19">
              <w:rPr>
                <w:rFonts w:ascii="Arial" w:hAnsi="Arial" w:cs="Arial"/>
                <w:color w:val="6C6361"/>
                <w:sz w:val="24"/>
                <w:szCs w:val="20"/>
              </w:rPr>
              <w:t xml:space="preserve"> </w:t>
            </w:r>
            <w:proofErr w:type="spellStart"/>
            <w:r w:rsidRPr="00972E19">
              <w:rPr>
                <w:rFonts w:ascii="Arial" w:hAnsi="Arial" w:cs="Arial"/>
                <w:color w:val="6C6361"/>
                <w:sz w:val="24"/>
                <w:szCs w:val="20"/>
              </w:rPr>
              <w:t>Mevduati</w:t>
            </w:r>
            <w:proofErr w:type="spellEnd"/>
            <w:r w:rsidRPr="00972E19">
              <w:rPr>
                <w:rFonts w:ascii="Arial" w:hAnsi="Arial" w:cs="Arial"/>
                <w:color w:val="6C6361"/>
                <w:sz w:val="24"/>
                <w:szCs w:val="20"/>
              </w:rPr>
              <w:t xml:space="preserve"> </w:t>
            </w:r>
            <w:proofErr w:type="spellStart"/>
            <w:r w:rsidRPr="00972E19">
              <w:rPr>
                <w:rFonts w:ascii="Arial" w:hAnsi="Arial" w:cs="Arial"/>
                <w:color w:val="6C6361"/>
                <w:sz w:val="24"/>
                <w:szCs w:val="20"/>
              </w:rPr>
              <w:t>Sigorta</w:t>
            </w:r>
            <w:proofErr w:type="spellEnd"/>
            <w:r w:rsidRPr="00972E19">
              <w:rPr>
                <w:rFonts w:ascii="Arial" w:hAnsi="Arial" w:cs="Arial"/>
                <w:color w:val="6C6361"/>
                <w:sz w:val="24"/>
                <w:szCs w:val="20"/>
              </w:rPr>
              <w:t xml:space="preserve"> </w:t>
            </w:r>
            <w:proofErr w:type="spellStart"/>
            <w:r w:rsidRPr="00972E19">
              <w:rPr>
                <w:rFonts w:ascii="Arial" w:hAnsi="Arial" w:cs="Arial"/>
                <w:color w:val="6C6361"/>
                <w:sz w:val="24"/>
                <w:szCs w:val="20"/>
              </w:rPr>
              <w:t>Fonu</w:t>
            </w:r>
            <w:proofErr w:type="spellEnd"/>
            <w:r w:rsidRPr="00972E19">
              <w:rPr>
                <w:rFonts w:ascii="Arial" w:hAnsi="Arial" w:cs="Arial"/>
                <w:color w:val="6C6361"/>
                <w:sz w:val="24"/>
                <w:szCs w:val="20"/>
              </w:rPr>
              <w:t xml:space="preserve"> v Merrill Lynch Bank and Trust Company (Cayman) Limited [2011] UKPC 17;</w:t>
            </w:r>
          </w:p>
          <w:p w14:paraId="36A31C06" w14:textId="77777777" w:rsidR="00DC6769" w:rsidRPr="00972E19" w:rsidRDefault="00DC6769" w:rsidP="009147F3">
            <w:pPr>
              <w:pStyle w:val="ListParagraph"/>
              <w:numPr>
                <w:ilvl w:val="0"/>
                <w:numId w:val="1"/>
              </w:numPr>
              <w:spacing w:line="276" w:lineRule="auto"/>
              <w:ind w:right="-108"/>
              <w:jc w:val="left"/>
              <w:rPr>
                <w:rFonts w:ascii="Arial" w:hAnsi="Arial" w:cs="Arial"/>
                <w:color w:val="6C6361"/>
                <w:sz w:val="24"/>
                <w:szCs w:val="20"/>
              </w:rPr>
            </w:pPr>
            <w:r w:rsidRPr="00972E19">
              <w:rPr>
                <w:rFonts w:ascii="Arial" w:hAnsi="Arial" w:cs="Arial"/>
                <w:color w:val="6C6361"/>
                <w:sz w:val="24"/>
                <w:szCs w:val="20"/>
              </w:rPr>
              <w:t xml:space="preserve">Protectors, reserved powers and ancillary relief after </w:t>
            </w:r>
            <w:proofErr w:type="spellStart"/>
            <w:r w:rsidRPr="00972E19">
              <w:rPr>
                <w:rFonts w:ascii="Arial" w:hAnsi="Arial" w:cs="Arial"/>
                <w:color w:val="6C6361"/>
                <w:sz w:val="24"/>
                <w:szCs w:val="20"/>
              </w:rPr>
              <w:t>Kan</w:t>
            </w:r>
            <w:proofErr w:type="spellEnd"/>
            <w:r w:rsidRPr="00972E19">
              <w:rPr>
                <w:rFonts w:ascii="Arial" w:hAnsi="Arial" w:cs="Arial"/>
                <w:color w:val="6C6361"/>
                <w:sz w:val="24"/>
                <w:szCs w:val="20"/>
              </w:rPr>
              <w:t xml:space="preserve"> Lai Kwan v Poon </w:t>
            </w:r>
            <w:proofErr w:type="spellStart"/>
            <w:r w:rsidRPr="00972E19">
              <w:rPr>
                <w:rFonts w:ascii="Arial" w:hAnsi="Arial" w:cs="Arial"/>
                <w:color w:val="6C6361"/>
                <w:sz w:val="24"/>
                <w:szCs w:val="20"/>
              </w:rPr>
              <w:t>Lok</w:t>
            </w:r>
            <w:proofErr w:type="spellEnd"/>
            <w:r w:rsidRPr="00972E19">
              <w:rPr>
                <w:rFonts w:ascii="Arial" w:hAnsi="Arial" w:cs="Arial"/>
                <w:color w:val="6C6361"/>
                <w:sz w:val="24"/>
                <w:szCs w:val="20"/>
              </w:rPr>
              <w:t xml:space="preserve"> To Otto &amp; HSBC International Trustee Ltd [2014] HKCFA 66;</w:t>
            </w:r>
          </w:p>
          <w:p w14:paraId="2A76E8B9" w14:textId="77777777" w:rsidR="00DC6769" w:rsidRPr="00972E19" w:rsidRDefault="00DC6769" w:rsidP="009147F3">
            <w:pPr>
              <w:pStyle w:val="ListParagraph"/>
              <w:numPr>
                <w:ilvl w:val="0"/>
                <w:numId w:val="1"/>
              </w:numPr>
              <w:spacing w:line="276" w:lineRule="auto"/>
              <w:ind w:right="-108"/>
              <w:jc w:val="left"/>
              <w:rPr>
                <w:rFonts w:ascii="Arial" w:hAnsi="Arial" w:cs="Arial"/>
                <w:color w:val="6C6361"/>
                <w:sz w:val="24"/>
                <w:szCs w:val="20"/>
              </w:rPr>
            </w:pPr>
            <w:r w:rsidRPr="00972E19">
              <w:rPr>
                <w:rFonts w:ascii="Arial" w:hAnsi="Arial" w:cs="Arial"/>
                <w:color w:val="6C6361"/>
                <w:sz w:val="24"/>
                <w:szCs w:val="20"/>
              </w:rPr>
              <w:t>The doctrine of sham for trusts;</w:t>
            </w:r>
          </w:p>
          <w:p w14:paraId="2ECAD32E" w14:textId="77777777" w:rsidR="00DC6769" w:rsidRPr="00972E19" w:rsidRDefault="00DC6769" w:rsidP="009147F3">
            <w:pPr>
              <w:pStyle w:val="ListParagraph"/>
              <w:numPr>
                <w:ilvl w:val="0"/>
                <w:numId w:val="1"/>
              </w:numPr>
              <w:spacing w:line="276" w:lineRule="auto"/>
              <w:ind w:right="-108"/>
              <w:jc w:val="left"/>
              <w:rPr>
                <w:rFonts w:ascii="Arial" w:hAnsi="Arial" w:cs="Arial"/>
                <w:color w:val="6C6361"/>
                <w:sz w:val="24"/>
                <w:szCs w:val="20"/>
              </w:rPr>
            </w:pPr>
            <w:r w:rsidRPr="00972E19">
              <w:rPr>
                <w:rFonts w:ascii="Arial" w:hAnsi="Arial" w:cs="Arial"/>
                <w:color w:val="6C6361"/>
                <w:sz w:val="24"/>
                <w:szCs w:val="20"/>
              </w:rPr>
              <w:t xml:space="preserve">Interpreting the "True Effect of the Trusts" after </w:t>
            </w:r>
            <w:proofErr w:type="spellStart"/>
            <w:r w:rsidRPr="00972E19">
              <w:rPr>
                <w:rFonts w:ascii="Arial" w:hAnsi="Arial" w:cs="Arial"/>
                <w:color w:val="6C6361"/>
                <w:sz w:val="24"/>
                <w:szCs w:val="20"/>
              </w:rPr>
              <w:t>Mezhdunarodniy</w:t>
            </w:r>
            <w:proofErr w:type="spellEnd"/>
            <w:r w:rsidRPr="00972E19">
              <w:rPr>
                <w:rFonts w:ascii="Arial" w:hAnsi="Arial" w:cs="Arial"/>
                <w:color w:val="6C6361"/>
                <w:sz w:val="24"/>
                <w:szCs w:val="20"/>
              </w:rPr>
              <w:t xml:space="preserve"> </w:t>
            </w:r>
            <w:proofErr w:type="spellStart"/>
            <w:r w:rsidRPr="00972E19">
              <w:rPr>
                <w:rFonts w:ascii="Arial" w:hAnsi="Arial" w:cs="Arial"/>
                <w:color w:val="6C6361"/>
                <w:sz w:val="24"/>
                <w:szCs w:val="20"/>
              </w:rPr>
              <w:t>Promyshlenniy</w:t>
            </w:r>
            <w:proofErr w:type="spellEnd"/>
            <w:r w:rsidRPr="00972E19">
              <w:rPr>
                <w:rFonts w:ascii="Arial" w:hAnsi="Arial" w:cs="Arial"/>
                <w:color w:val="6C6361"/>
                <w:sz w:val="24"/>
                <w:szCs w:val="20"/>
              </w:rPr>
              <w:t xml:space="preserve"> Bank and another v </w:t>
            </w:r>
            <w:proofErr w:type="spellStart"/>
            <w:r w:rsidRPr="00972E19">
              <w:rPr>
                <w:rFonts w:ascii="Arial" w:hAnsi="Arial" w:cs="Arial"/>
                <w:color w:val="6C6361"/>
                <w:sz w:val="24"/>
                <w:szCs w:val="20"/>
              </w:rPr>
              <w:t>Pugachev</w:t>
            </w:r>
            <w:proofErr w:type="spellEnd"/>
            <w:r w:rsidRPr="00972E19">
              <w:rPr>
                <w:rFonts w:ascii="Arial" w:hAnsi="Arial" w:cs="Arial"/>
                <w:color w:val="6C6361"/>
                <w:sz w:val="24"/>
                <w:szCs w:val="20"/>
              </w:rPr>
              <w:t xml:space="preserve"> [2017] EWHC 2426;</w:t>
            </w:r>
          </w:p>
          <w:p w14:paraId="36145A9D" w14:textId="77777777" w:rsidR="00DC6769" w:rsidRPr="00972E19" w:rsidRDefault="00DC6769" w:rsidP="009147F3">
            <w:pPr>
              <w:pStyle w:val="ListParagraph"/>
              <w:numPr>
                <w:ilvl w:val="0"/>
                <w:numId w:val="1"/>
              </w:numPr>
              <w:spacing w:line="276" w:lineRule="auto"/>
              <w:ind w:right="-108"/>
              <w:jc w:val="left"/>
              <w:rPr>
                <w:rFonts w:ascii="Arial" w:hAnsi="Arial" w:cs="Arial"/>
                <w:color w:val="6C6361"/>
                <w:sz w:val="24"/>
                <w:szCs w:val="20"/>
              </w:rPr>
            </w:pPr>
            <w:r w:rsidRPr="00972E19">
              <w:rPr>
                <w:rFonts w:ascii="Arial" w:hAnsi="Arial" w:cs="Arial"/>
                <w:color w:val="6C6361"/>
                <w:sz w:val="24"/>
                <w:szCs w:val="20"/>
              </w:rPr>
              <w:t>How may a trustee mitigate their fiduciary obligations?</w:t>
            </w:r>
          </w:p>
          <w:p w14:paraId="45E4F6C7" w14:textId="77777777" w:rsidR="00DC6769" w:rsidRPr="00972E19" w:rsidRDefault="00DC6769" w:rsidP="009147F3">
            <w:pPr>
              <w:pStyle w:val="ListParagraph"/>
              <w:numPr>
                <w:ilvl w:val="0"/>
                <w:numId w:val="1"/>
              </w:numPr>
              <w:spacing w:line="276" w:lineRule="auto"/>
              <w:ind w:right="-108"/>
              <w:jc w:val="left"/>
              <w:rPr>
                <w:rFonts w:ascii="Arial" w:hAnsi="Arial" w:cs="Arial"/>
                <w:color w:val="6C6361"/>
                <w:sz w:val="24"/>
                <w:szCs w:val="20"/>
              </w:rPr>
            </w:pPr>
            <w:r w:rsidRPr="00972E19">
              <w:rPr>
                <w:rFonts w:ascii="Arial" w:hAnsi="Arial" w:cs="Arial"/>
                <w:color w:val="6C6361"/>
                <w:sz w:val="24"/>
                <w:szCs w:val="20"/>
              </w:rPr>
              <w:t>Anti-Bartlett clauses with exclusion clauses;</w:t>
            </w:r>
          </w:p>
          <w:p w14:paraId="7BDBFD8A" w14:textId="77777777" w:rsidR="00DC6769" w:rsidRPr="00972E19" w:rsidRDefault="00DC6769" w:rsidP="009147F3">
            <w:pPr>
              <w:pStyle w:val="ListParagraph"/>
              <w:numPr>
                <w:ilvl w:val="0"/>
                <w:numId w:val="1"/>
              </w:numPr>
              <w:spacing w:line="276" w:lineRule="auto"/>
              <w:ind w:right="-108"/>
              <w:jc w:val="left"/>
              <w:rPr>
                <w:rFonts w:ascii="Arial" w:hAnsi="Arial" w:cs="Arial"/>
                <w:color w:val="6C6361"/>
                <w:sz w:val="24"/>
                <w:szCs w:val="20"/>
              </w:rPr>
            </w:pPr>
            <w:r w:rsidRPr="00972E19">
              <w:rPr>
                <w:rFonts w:ascii="Arial" w:hAnsi="Arial" w:cs="Arial"/>
                <w:color w:val="6C6361"/>
                <w:sz w:val="24"/>
                <w:szCs w:val="20"/>
              </w:rPr>
              <w:t>Anti-Bartlett provisions and the trustee's "irreducible core of obligations" after Zhang Hong Li v DBS Bank (HK) Ltd (2019) HKCFA 45;</w:t>
            </w:r>
          </w:p>
          <w:p w14:paraId="419AA1C0" w14:textId="77777777" w:rsidR="00DC6769" w:rsidRPr="00972E19" w:rsidRDefault="00DC6769" w:rsidP="009147F3">
            <w:pPr>
              <w:pStyle w:val="ListParagraph"/>
              <w:numPr>
                <w:ilvl w:val="0"/>
                <w:numId w:val="1"/>
              </w:numPr>
              <w:spacing w:line="276" w:lineRule="auto"/>
              <w:ind w:right="-108"/>
              <w:jc w:val="left"/>
              <w:rPr>
                <w:rFonts w:ascii="Arial" w:hAnsi="Arial" w:cs="Arial"/>
                <w:color w:val="6C6361"/>
                <w:sz w:val="24"/>
                <w:szCs w:val="20"/>
              </w:rPr>
            </w:pPr>
            <w:r w:rsidRPr="00972E19">
              <w:rPr>
                <w:rFonts w:ascii="Arial" w:hAnsi="Arial" w:cs="Arial"/>
                <w:color w:val="6C6361"/>
                <w:sz w:val="24"/>
                <w:szCs w:val="20"/>
              </w:rPr>
              <w:t>The liability of others;</w:t>
            </w:r>
          </w:p>
          <w:p w14:paraId="643C1E16" w14:textId="77777777" w:rsidR="00DC6769" w:rsidRPr="00972E19" w:rsidRDefault="00DC6769" w:rsidP="009147F3">
            <w:pPr>
              <w:pStyle w:val="ListParagraph"/>
              <w:numPr>
                <w:ilvl w:val="0"/>
                <w:numId w:val="1"/>
              </w:numPr>
              <w:spacing w:line="276" w:lineRule="auto"/>
              <w:ind w:right="-108"/>
              <w:jc w:val="left"/>
              <w:rPr>
                <w:rFonts w:ascii="Arial" w:hAnsi="Arial" w:cs="Arial"/>
                <w:color w:val="6C6361"/>
                <w:sz w:val="24"/>
                <w:szCs w:val="20"/>
              </w:rPr>
            </w:pPr>
            <w:r w:rsidRPr="00972E19">
              <w:rPr>
                <w:rFonts w:ascii="Arial" w:hAnsi="Arial" w:cs="Arial"/>
                <w:color w:val="6C6361"/>
                <w:sz w:val="24"/>
                <w:szCs w:val="20"/>
              </w:rPr>
              <w:t>The liability of trustees outside their fiduciary obligations;</w:t>
            </w:r>
          </w:p>
          <w:p w14:paraId="715B1BF0" w14:textId="77777777" w:rsidR="00DC6769" w:rsidRPr="00972E19" w:rsidRDefault="00DC6769" w:rsidP="009147F3">
            <w:pPr>
              <w:pStyle w:val="ListParagraph"/>
              <w:numPr>
                <w:ilvl w:val="0"/>
                <w:numId w:val="1"/>
              </w:numPr>
              <w:spacing w:line="276" w:lineRule="auto"/>
              <w:ind w:right="-108"/>
              <w:jc w:val="left"/>
              <w:rPr>
                <w:rFonts w:ascii="Arial" w:hAnsi="Arial" w:cs="Arial"/>
                <w:color w:val="6C6361"/>
                <w:sz w:val="24"/>
                <w:szCs w:val="20"/>
              </w:rPr>
            </w:pPr>
            <w:r w:rsidRPr="00972E19">
              <w:rPr>
                <w:rFonts w:ascii="Arial" w:hAnsi="Arial" w:cs="Arial"/>
                <w:color w:val="6C6361"/>
                <w:sz w:val="24"/>
                <w:szCs w:val="20"/>
              </w:rPr>
              <w:t>The continued liability of trustees for their core fiduciary obligations.</w:t>
            </w:r>
          </w:p>
        </w:tc>
        <w:tc>
          <w:tcPr>
            <w:tcW w:w="1701" w:type="dxa"/>
            <w:tcBorders>
              <w:top w:val="nil"/>
              <w:bottom w:val="nil"/>
              <w:right w:val="nil"/>
            </w:tcBorders>
            <w:shd w:val="clear" w:color="auto" w:fill="FFFFFF" w:themeFill="background1"/>
            <w:vAlign w:val="center"/>
          </w:tcPr>
          <w:p w14:paraId="4F4BC03F" w14:textId="77777777" w:rsidR="00DC6769" w:rsidRDefault="00DC6769" w:rsidP="009147F3">
            <w:pPr>
              <w:spacing w:line="276" w:lineRule="auto"/>
              <w:jc w:val="center"/>
              <w:rPr>
                <w:rFonts w:ascii="Arial" w:hAnsi="Arial" w:cs="Arial"/>
                <w:color w:val="6C6361"/>
                <w:sz w:val="24"/>
                <w:szCs w:val="20"/>
              </w:rPr>
            </w:pPr>
          </w:p>
          <w:p w14:paraId="281B06AE" w14:textId="77777777" w:rsidR="00DC6769" w:rsidRDefault="00DC6769" w:rsidP="009147F3">
            <w:pPr>
              <w:spacing w:line="276" w:lineRule="auto"/>
              <w:jc w:val="center"/>
              <w:rPr>
                <w:rFonts w:ascii="Arial" w:hAnsi="Arial" w:cs="Arial"/>
                <w:color w:val="6C6361"/>
                <w:sz w:val="24"/>
                <w:szCs w:val="20"/>
              </w:rPr>
            </w:pPr>
          </w:p>
          <w:p w14:paraId="2FDC1A3A" w14:textId="77777777" w:rsidR="00DC6769" w:rsidRDefault="00DC6769" w:rsidP="009147F3">
            <w:pPr>
              <w:spacing w:line="276" w:lineRule="auto"/>
              <w:jc w:val="center"/>
              <w:rPr>
                <w:rFonts w:ascii="Arial" w:hAnsi="Arial" w:cs="Arial"/>
                <w:color w:val="6C6361"/>
                <w:sz w:val="24"/>
                <w:szCs w:val="20"/>
              </w:rPr>
            </w:pPr>
          </w:p>
          <w:p w14:paraId="29E6F4D2" w14:textId="77777777" w:rsidR="00DC6769" w:rsidRDefault="00DC6769" w:rsidP="009147F3">
            <w:pPr>
              <w:spacing w:line="276" w:lineRule="auto"/>
              <w:jc w:val="center"/>
              <w:rPr>
                <w:rFonts w:ascii="Arial" w:hAnsi="Arial" w:cs="Arial"/>
                <w:color w:val="6C6361"/>
                <w:sz w:val="24"/>
                <w:szCs w:val="20"/>
              </w:rPr>
            </w:pPr>
          </w:p>
          <w:p w14:paraId="1C4AD649" w14:textId="77777777" w:rsidR="00DC6769" w:rsidRDefault="00DC6769" w:rsidP="009147F3">
            <w:pPr>
              <w:spacing w:line="276" w:lineRule="auto"/>
              <w:jc w:val="center"/>
              <w:rPr>
                <w:rFonts w:ascii="Arial" w:hAnsi="Arial" w:cs="Arial"/>
                <w:color w:val="6C6361"/>
                <w:sz w:val="24"/>
                <w:szCs w:val="20"/>
              </w:rPr>
            </w:pPr>
          </w:p>
          <w:p w14:paraId="7E0B789F" w14:textId="77777777" w:rsidR="00DC6769" w:rsidRDefault="00DC6769" w:rsidP="009147F3">
            <w:pPr>
              <w:spacing w:line="276" w:lineRule="auto"/>
              <w:jc w:val="center"/>
              <w:rPr>
                <w:rFonts w:ascii="Arial" w:hAnsi="Arial" w:cs="Arial"/>
                <w:color w:val="6C6361"/>
                <w:sz w:val="24"/>
                <w:szCs w:val="20"/>
              </w:rPr>
            </w:pPr>
          </w:p>
          <w:p w14:paraId="191F5E41" w14:textId="77777777" w:rsidR="00DC6769" w:rsidRDefault="00DC6769" w:rsidP="009147F3">
            <w:pPr>
              <w:spacing w:line="276" w:lineRule="auto"/>
              <w:jc w:val="center"/>
              <w:rPr>
                <w:rFonts w:ascii="Arial" w:hAnsi="Arial" w:cs="Arial"/>
                <w:color w:val="6C6361"/>
                <w:sz w:val="24"/>
                <w:szCs w:val="20"/>
              </w:rPr>
            </w:pPr>
          </w:p>
          <w:p w14:paraId="636FAC11" w14:textId="77777777" w:rsidR="00DC6769" w:rsidRDefault="00DC6769" w:rsidP="009147F3">
            <w:pPr>
              <w:spacing w:line="276" w:lineRule="auto"/>
              <w:jc w:val="center"/>
              <w:rPr>
                <w:rFonts w:ascii="Arial" w:hAnsi="Arial" w:cs="Arial"/>
                <w:color w:val="6C6361"/>
                <w:sz w:val="24"/>
                <w:szCs w:val="20"/>
              </w:rPr>
            </w:pPr>
          </w:p>
          <w:p w14:paraId="4E28FAD1" w14:textId="77777777" w:rsidR="00DC6769" w:rsidRDefault="00DC6769" w:rsidP="009147F3">
            <w:pPr>
              <w:spacing w:line="276" w:lineRule="auto"/>
              <w:jc w:val="center"/>
              <w:rPr>
                <w:rFonts w:ascii="Arial" w:hAnsi="Arial" w:cs="Arial"/>
                <w:color w:val="6C6361"/>
                <w:sz w:val="24"/>
                <w:szCs w:val="20"/>
              </w:rPr>
            </w:pPr>
          </w:p>
          <w:p w14:paraId="152AFA52" w14:textId="77777777" w:rsidR="00DC6769" w:rsidRPr="00972E19" w:rsidRDefault="00DC6769" w:rsidP="009147F3">
            <w:pPr>
              <w:spacing w:line="276" w:lineRule="auto"/>
              <w:jc w:val="center"/>
              <w:rPr>
                <w:rFonts w:ascii="Arial" w:hAnsi="Arial" w:cs="Arial"/>
                <w:color w:val="6C6361"/>
                <w:sz w:val="24"/>
                <w:szCs w:val="20"/>
              </w:rPr>
            </w:pPr>
          </w:p>
          <w:p w14:paraId="2CD1DFD3" w14:textId="77777777" w:rsidR="00DC6769" w:rsidRPr="00972E19" w:rsidRDefault="00DC6769" w:rsidP="009147F3">
            <w:pPr>
              <w:spacing w:line="276" w:lineRule="auto"/>
              <w:jc w:val="center"/>
              <w:rPr>
                <w:rFonts w:ascii="Arial" w:hAnsi="Arial" w:cs="Arial"/>
                <w:color w:val="6C6361"/>
                <w:sz w:val="24"/>
                <w:szCs w:val="20"/>
              </w:rPr>
            </w:pPr>
          </w:p>
          <w:p w14:paraId="0A8478CC" w14:textId="77777777" w:rsidR="00DC6769" w:rsidRPr="00972E19" w:rsidRDefault="00DC6769" w:rsidP="009147F3">
            <w:pPr>
              <w:spacing w:line="276" w:lineRule="auto"/>
              <w:jc w:val="center"/>
              <w:rPr>
                <w:rFonts w:ascii="Arial" w:hAnsi="Arial" w:cs="Arial"/>
                <w:color w:val="6C6361"/>
                <w:sz w:val="24"/>
                <w:szCs w:val="20"/>
              </w:rPr>
            </w:pPr>
            <w:r w:rsidRPr="00972E19">
              <w:rPr>
                <w:rFonts w:ascii="Arial" w:hAnsi="Arial" w:cs="Arial"/>
                <w:noProof/>
                <w:color w:val="6C6361"/>
                <w:sz w:val="24"/>
                <w:szCs w:val="20"/>
              </w:rPr>
              <w:drawing>
                <wp:inline distT="0" distB="0" distL="0" distR="0" wp14:anchorId="174C6DF3" wp14:editId="6A22B028">
                  <wp:extent cx="893420" cy="10223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3420" cy="1022399"/>
                          </a:xfrm>
                          <a:prstGeom prst="rect">
                            <a:avLst/>
                          </a:prstGeom>
                          <a:noFill/>
                          <a:ln>
                            <a:noFill/>
                          </a:ln>
                        </pic:spPr>
                      </pic:pic>
                    </a:graphicData>
                  </a:graphic>
                </wp:inline>
              </w:drawing>
            </w:r>
          </w:p>
        </w:tc>
      </w:tr>
    </w:tbl>
    <w:p w14:paraId="65ECD38C" w14:textId="77777777" w:rsidR="00DC6769" w:rsidRPr="00452FEA" w:rsidRDefault="00DC6769" w:rsidP="009D6585">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DC6769" w:rsidRPr="00B90951" w14:paraId="20C18A4F" w14:textId="77777777" w:rsidTr="00DC6769">
        <w:trPr>
          <w:trHeight w:val="397"/>
          <w:jc w:val="center"/>
        </w:trPr>
        <w:tc>
          <w:tcPr>
            <w:tcW w:w="1701" w:type="dxa"/>
            <w:tcBorders>
              <w:top w:val="nil"/>
              <w:left w:val="nil"/>
              <w:bottom w:val="single" w:sz="12" w:space="0" w:color="FFFFFF"/>
            </w:tcBorders>
            <w:shd w:val="clear" w:color="auto" w:fill="F0EBE1"/>
            <w:vAlign w:val="center"/>
          </w:tcPr>
          <w:p w14:paraId="2FB521BD" w14:textId="6AA53117" w:rsidR="00DC6769" w:rsidRPr="00320F79" w:rsidRDefault="00DC6769" w:rsidP="00DC6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52DC2F1E" w14:textId="204A09BC" w:rsidR="00DC6769" w:rsidRPr="00320F79" w:rsidRDefault="00DC6769" w:rsidP="00DC6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EVT000000344</w:t>
            </w:r>
          </w:p>
        </w:tc>
        <w:tc>
          <w:tcPr>
            <w:tcW w:w="1701" w:type="dxa"/>
            <w:tcBorders>
              <w:top w:val="nil"/>
              <w:bottom w:val="single" w:sz="12" w:space="0" w:color="FFFFFF"/>
            </w:tcBorders>
            <w:shd w:val="clear" w:color="auto" w:fill="F0EBE1"/>
            <w:vAlign w:val="center"/>
          </w:tcPr>
          <w:p w14:paraId="64087B78" w14:textId="490AF63E" w:rsidR="00DC6769" w:rsidRPr="00320F79" w:rsidRDefault="00DC6769" w:rsidP="00DC6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3475A82D" w14:textId="34E2708A" w:rsidR="00DC6769" w:rsidRPr="00320F79" w:rsidRDefault="00DC6769" w:rsidP="00DC6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DC6769" w:rsidRPr="00B90951" w14:paraId="5E3C30C3" w14:textId="77777777" w:rsidTr="00DC6769">
        <w:trPr>
          <w:trHeight w:val="397"/>
          <w:jc w:val="center"/>
        </w:trPr>
        <w:tc>
          <w:tcPr>
            <w:tcW w:w="1701" w:type="dxa"/>
            <w:tcBorders>
              <w:top w:val="single" w:sz="12" w:space="0" w:color="FFFFFF"/>
              <w:left w:val="nil"/>
              <w:bottom w:val="single" w:sz="12" w:space="0" w:color="FFFFFF"/>
            </w:tcBorders>
            <w:shd w:val="clear" w:color="auto" w:fill="F0EBE1"/>
            <w:vAlign w:val="center"/>
          </w:tcPr>
          <w:p w14:paraId="3BE3C8E0" w14:textId="30015E5E" w:rsidR="00DC6769" w:rsidRPr="00320F79" w:rsidRDefault="00DC6769" w:rsidP="00DC6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2C9DFA7D" w14:textId="469E3739" w:rsidR="00DC6769" w:rsidRPr="00682661" w:rsidRDefault="00DC6769" w:rsidP="00DC6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24 September 2021 (Friday)</w:t>
            </w:r>
          </w:p>
        </w:tc>
        <w:tc>
          <w:tcPr>
            <w:tcW w:w="1701" w:type="dxa"/>
            <w:tcBorders>
              <w:top w:val="single" w:sz="12" w:space="0" w:color="FFFFFF"/>
              <w:bottom w:val="single" w:sz="12" w:space="0" w:color="FFFFFF"/>
            </w:tcBorders>
            <w:shd w:val="clear" w:color="auto" w:fill="F0EBE1"/>
            <w:vAlign w:val="center"/>
          </w:tcPr>
          <w:p w14:paraId="439F6154" w14:textId="693FC7C5" w:rsidR="00DC6769" w:rsidRPr="00320F79" w:rsidRDefault="00DC6769" w:rsidP="00DC6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5465BE23" w14:textId="78B8457F" w:rsidR="00DC6769" w:rsidRPr="00320F79" w:rsidRDefault="00DC6769" w:rsidP="00DC6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063A10" w:rsidRPr="00B90951" w14:paraId="034433B1"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46277FD5" w14:textId="290BCAEF"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55F2CFC7" w14:textId="77777777"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14:paraId="1DB2E5A6" w14:textId="5F19F276"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7320D15E" w14:textId="6235905C" w:rsidR="00063A10" w:rsidRPr="00320F79"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4D0CE89A" w14:textId="00934020" w:rsidR="00063A10" w:rsidRPr="00682661" w:rsidRDefault="00063A10" w:rsidP="00063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tc>
      </w:tr>
      <w:tr w:rsidR="009D6585" w:rsidRPr="00B90951" w14:paraId="4E0C1FE3" w14:textId="77777777" w:rsidTr="0086738B">
        <w:trPr>
          <w:trHeight w:val="397"/>
          <w:jc w:val="center"/>
        </w:trPr>
        <w:tc>
          <w:tcPr>
            <w:tcW w:w="1701" w:type="dxa"/>
            <w:tcBorders>
              <w:top w:val="single" w:sz="12" w:space="0" w:color="FFFFFF"/>
              <w:left w:val="nil"/>
              <w:bottom w:val="nil"/>
            </w:tcBorders>
            <w:shd w:val="clear" w:color="auto" w:fill="F0EBE1"/>
            <w:vAlign w:val="center"/>
          </w:tcPr>
          <w:p w14:paraId="6A7FB54F"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05B97C1" w14:textId="77777777"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14D9A1DB" w14:textId="77777777"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7C2300C2" w14:textId="77777777"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65E10723"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4DBC2E1"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7DCFDA32"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29F2B3AA" w14:textId="77777777"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1D018B43" wp14:editId="5F4848E1">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5EE35234" w14:textId="77777777"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51D57FBD"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0692504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361D71E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22A69B48"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C9FEB20"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7320BAC6" wp14:editId="49AA325E">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42302BA5" w14:textId="77777777"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E9D2B" w14:textId="77777777" w:rsidR="00487FBB" w:rsidRDefault="00487FBB" w:rsidP="00546556">
      <w:r>
        <w:separator/>
      </w:r>
    </w:p>
  </w:endnote>
  <w:endnote w:type="continuationSeparator" w:id="0">
    <w:p w14:paraId="7311EEC1" w14:textId="77777777" w:rsidR="00487FBB" w:rsidRDefault="00487FBB"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8C777"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16CBF26C" w14:textId="77777777" w:rsidTr="00A775CE">
      <w:trPr>
        <w:trHeight w:val="1824"/>
        <w:jc w:val="center"/>
      </w:trPr>
      <w:tc>
        <w:tcPr>
          <w:tcW w:w="5954" w:type="dxa"/>
          <w:vAlign w:val="bottom"/>
        </w:tcPr>
        <w:p w14:paraId="0C09045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DD57008" wp14:editId="5037A6CA">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0F8247E" w14:textId="77777777" w:rsidR="00197F64" w:rsidRPr="00EA2D57" w:rsidRDefault="00197F64" w:rsidP="00197F64">
          <w:pPr>
            <w:ind w:right="33"/>
            <w:jc w:val="center"/>
            <w:rPr>
              <w:rFonts w:ascii="Arial" w:hAnsi="Arial" w:cs="Arial"/>
              <w:color w:val="E4DCCA"/>
              <w:sz w:val="16"/>
              <w:szCs w:val="16"/>
            </w:rPr>
          </w:pPr>
        </w:p>
        <w:p w14:paraId="5A9CDA07"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4E6519BB"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798F6F3"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2467DD9"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020682F5" wp14:editId="4EDA8FE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556E92A"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23BC959"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3AA8340C"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1E18C98"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24DB941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91FCD16"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0BBD7" w14:textId="77777777" w:rsidR="00487FBB" w:rsidRDefault="00487FBB" w:rsidP="00546556">
      <w:r>
        <w:separator/>
      </w:r>
    </w:p>
  </w:footnote>
  <w:footnote w:type="continuationSeparator" w:id="0">
    <w:p w14:paraId="2AF2D68D" w14:textId="77777777" w:rsidR="00487FBB" w:rsidRDefault="00487FBB"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6403C" w14:textId="77777777" w:rsidR="002C4DC0" w:rsidRDefault="00F0384F">
    <w:pPr>
      <w:pStyle w:val="Header"/>
    </w:pPr>
    <w:r>
      <w:rPr>
        <w:noProof/>
      </w:rPr>
      <w:drawing>
        <wp:anchor distT="0" distB="0" distL="114300" distR="114300" simplePos="0" relativeHeight="251659264" behindDoc="1" locked="0" layoutInCell="1" allowOverlap="1" wp14:anchorId="4E39FC2B" wp14:editId="218BDE2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lx1jCehibvgNf0I8J9uHRao3JfHzr4B0sLNXtV97ph4wDAWtaq/Zybv02eNnrqGw0b+gRVd/DDPgyln8nzQR4w==" w:salt="8xYzovQkjmbWbrdyCa1CVw=="/>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A10"/>
    <w:rsid w:val="00063FA2"/>
    <w:rsid w:val="00064A4A"/>
    <w:rsid w:val="00065DCB"/>
    <w:rsid w:val="00067279"/>
    <w:rsid w:val="00067ADB"/>
    <w:rsid w:val="00070141"/>
    <w:rsid w:val="000706BB"/>
    <w:rsid w:val="00070E12"/>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2606"/>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17A32"/>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2FEA"/>
    <w:rsid w:val="00453433"/>
    <w:rsid w:val="00453DA0"/>
    <w:rsid w:val="004550E4"/>
    <w:rsid w:val="00456482"/>
    <w:rsid w:val="004564B3"/>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BB"/>
    <w:rsid w:val="00487FFC"/>
    <w:rsid w:val="00490354"/>
    <w:rsid w:val="004905BD"/>
    <w:rsid w:val="00490630"/>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3"/>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26B8"/>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6044"/>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F5"/>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38B"/>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6739"/>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B78"/>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354"/>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3891"/>
    <w:rsid w:val="00D44B8B"/>
    <w:rsid w:val="00D45B8B"/>
    <w:rsid w:val="00D47172"/>
    <w:rsid w:val="00D50772"/>
    <w:rsid w:val="00D51519"/>
    <w:rsid w:val="00D51ED3"/>
    <w:rsid w:val="00D52273"/>
    <w:rsid w:val="00D534F3"/>
    <w:rsid w:val="00D54538"/>
    <w:rsid w:val="00D54B45"/>
    <w:rsid w:val="00D553BC"/>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B9A"/>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6769"/>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DF7F7C"/>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FD78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4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A9577-27E2-4DB1-A683-08FFEF1E9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Pages>
  <Words>562</Words>
  <Characters>3209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CPD Course: The Law of Charities in Hong Kong and Possible Reform</vt:lpstr>
    </vt:vector>
  </TitlesOfParts>
  <Manager>Tyrone Tsang</Manager>
  <Company>The Profectional Company Limited</Company>
  <LinksUpToDate>false</LinksUpToDate>
  <CharactersWithSpaces>3764</CharactersWithSpaces>
  <SharedDoc>false</SharedDoc>
  <HyperlinkBase>http://download.profectional.com/events/EVT000000344.docx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Balancing Reserved Powers with Fiduciary Duties - The Practical and Other Issues</dc:title>
  <dc:subject>CPD Course: Balancing Reserved Powers with Fiduciary Duties - The Practical and Other Issues</dc:subject>
  <dc:creator>The Profectional Company Limited</dc:creator>
  <cp:keywords>Profectional; Kornerstone; CPD; CPT; CLE; CE; RME; Steven Gallagher; Associate Professor of Practice in Law; Associate Dean (Teaching &amp; Learning);The Faculty of Law; The Chinese University of Hong Kong</cp:keywords>
  <dc:description/>
  <cp:lastModifiedBy>Tyrone Tsang</cp:lastModifiedBy>
  <cp:revision>74</cp:revision>
  <cp:lastPrinted>2021-06-24T07:18:00Z</cp:lastPrinted>
  <dcterms:created xsi:type="dcterms:W3CDTF">2017-01-12T02:41:00Z</dcterms:created>
  <dcterms:modified xsi:type="dcterms:W3CDTF">2021-09-24T11:49:00Z</dcterms:modified>
  <cp:category/>
</cp:coreProperties>
</file>