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5B7BF" w14:textId="77777777" w:rsidR="0075338C" w:rsidRPr="0075338C" w:rsidRDefault="0075338C" w:rsidP="0075338C">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75338C" w:rsidRPr="00523A64" w14:paraId="404186E0" w14:textId="77777777" w:rsidTr="00FF710F">
        <w:trPr>
          <w:trHeight w:val="3119"/>
          <w:jc w:val="center"/>
        </w:trPr>
        <w:tc>
          <w:tcPr>
            <w:tcW w:w="4797" w:type="dxa"/>
            <w:shd w:val="clear" w:color="auto" w:fill="FFFFFF"/>
            <w:vAlign w:val="center"/>
          </w:tcPr>
          <w:p w14:paraId="6BD6DC19" w14:textId="77777777" w:rsidR="0075338C" w:rsidRPr="001A3018" w:rsidRDefault="0075338C" w:rsidP="00FF710F">
            <w:pPr>
              <w:jc w:val="center"/>
              <w:rPr>
                <w:rFonts w:ascii="Arial" w:hAnsi="Arial" w:cs="Arial"/>
                <w:b/>
                <w:bCs/>
                <w:color w:val="524B48"/>
                <w:sz w:val="4"/>
                <w:szCs w:val="4"/>
              </w:rPr>
            </w:pPr>
          </w:p>
          <w:p w14:paraId="2CC69063" w14:textId="77777777" w:rsidR="0075338C" w:rsidRDefault="0075338C" w:rsidP="00FF710F">
            <w:pPr>
              <w:jc w:val="center"/>
              <w:rPr>
                <w:rStyle w:val="Hyperlink"/>
                <w:rFonts w:ascii="Arial" w:hAnsi="Arial" w:cs="Arial"/>
                <w:b/>
                <w:bCs/>
                <w:color w:val="524B48"/>
                <w:sz w:val="32"/>
                <w:szCs w:val="32"/>
                <w:u w:val="none"/>
              </w:rPr>
            </w:pPr>
            <w:r w:rsidRPr="00CF685C">
              <w:fldChar w:fldCharType="begin"/>
            </w:r>
            <w:r>
              <w:instrText>HYPERLINK "http://cpd.hk/evt000000345/"</w:instrText>
            </w:r>
            <w:r w:rsidRPr="00CF685C">
              <w:fldChar w:fldCharType="separate"/>
            </w:r>
            <w:r>
              <w:rPr>
                <w:rStyle w:val="Hyperlink"/>
                <w:rFonts w:ascii="Arial" w:hAnsi="Arial" w:cs="Arial"/>
                <w:b/>
                <w:bCs/>
                <w:color w:val="524B48"/>
                <w:sz w:val="32"/>
                <w:szCs w:val="32"/>
                <w:u w:val="none"/>
              </w:rPr>
              <w:t>Superheroes</w:t>
            </w:r>
          </w:p>
          <w:p w14:paraId="589DEF9E" w14:textId="77777777" w:rsidR="0075338C" w:rsidRDefault="0075338C" w:rsidP="00FF710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and </w:t>
            </w:r>
            <w:r w:rsidRPr="00070FF0">
              <w:rPr>
                <w:rStyle w:val="Hyperlink"/>
                <w:rFonts w:ascii="Arial" w:hAnsi="Arial" w:cs="Arial"/>
                <w:b/>
                <w:bCs/>
                <w:color w:val="524B48"/>
                <w:sz w:val="32"/>
                <w:szCs w:val="32"/>
                <w:u w:val="none"/>
              </w:rPr>
              <w:t>the Law</w:t>
            </w:r>
          </w:p>
          <w:p w14:paraId="3DFE6F71" w14:textId="77777777" w:rsidR="0075338C" w:rsidRPr="00C65AFD" w:rsidRDefault="0075338C" w:rsidP="00FF710F">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6506233B" w14:textId="77777777" w:rsidR="0075338C" w:rsidRPr="00C65AFD" w:rsidRDefault="0075338C" w:rsidP="00FF710F">
            <w:pPr>
              <w:jc w:val="center"/>
              <w:rPr>
                <w:rFonts w:ascii="Arial" w:hAnsi="Arial" w:cs="Arial"/>
                <w:i/>
                <w:color w:val="6C6361"/>
                <w:sz w:val="24"/>
                <w:szCs w:val="24"/>
              </w:rPr>
            </w:pPr>
            <w:r w:rsidRPr="00C65AFD">
              <w:rPr>
                <w:rFonts w:ascii="Arial" w:hAnsi="Arial" w:cs="Arial"/>
                <w:i/>
                <w:color w:val="6C6361"/>
                <w:sz w:val="24"/>
                <w:szCs w:val="24"/>
              </w:rPr>
              <w:t>by</w:t>
            </w:r>
          </w:p>
          <w:p w14:paraId="37827ED4" w14:textId="77777777" w:rsidR="0075338C" w:rsidRDefault="006722F9" w:rsidP="00FF710F">
            <w:pPr>
              <w:jc w:val="center"/>
              <w:rPr>
                <w:rStyle w:val="Hyperlink"/>
                <w:rFonts w:ascii="Arial" w:hAnsi="Arial" w:cs="Arial"/>
                <w:color w:val="6C6361"/>
                <w:sz w:val="24"/>
                <w:szCs w:val="24"/>
                <w:u w:val="none"/>
              </w:rPr>
            </w:pPr>
            <w:hyperlink r:id="rId8" w:history="1">
              <w:r w:rsidR="0075338C">
                <w:rPr>
                  <w:rStyle w:val="Hyperlink"/>
                  <w:rFonts w:ascii="Arial" w:hAnsi="Arial" w:cs="Arial"/>
                  <w:color w:val="6C6361"/>
                  <w:sz w:val="24"/>
                  <w:szCs w:val="24"/>
                  <w:u w:val="none"/>
                </w:rPr>
                <w:t>Prof. Steven Gallagher</w:t>
              </w:r>
            </w:hyperlink>
            <w:r w:rsidR="0075338C">
              <w:rPr>
                <w:rStyle w:val="Hyperlink"/>
                <w:rFonts w:ascii="Arial" w:hAnsi="Arial" w:cs="Arial"/>
                <w:color w:val="6C6361"/>
                <w:sz w:val="24"/>
                <w:szCs w:val="24"/>
                <w:u w:val="none"/>
              </w:rPr>
              <w:t>,</w:t>
            </w:r>
          </w:p>
          <w:p w14:paraId="2448502D" w14:textId="77777777" w:rsidR="0075338C" w:rsidRDefault="0075338C" w:rsidP="00FF710F">
            <w:pPr>
              <w:jc w:val="center"/>
              <w:rPr>
                <w:rFonts w:ascii="Arial" w:hAnsi="Arial" w:cs="Arial"/>
                <w:color w:val="6C6361"/>
                <w:sz w:val="24"/>
                <w:szCs w:val="24"/>
              </w:rPr>
            </w:pPr>
            <w:r>
              <w:rPr>
                <w:rFonts w:ascii="Arial" w:hAnsi="Arial" w:cs="Arial"/>
                <w:color w:val="6C6361"/>
                <w:sz w:val="24"/>
                <w:szCs w:val="24"/>
              </w:rPr>
              <w:t>Professor of Practice in Law,</w:t>
            </w:r>
          </w:p>
          <w:p w14:paraId="05389AEE" w14:textId="77777777" w:rsidR="0075338C" w:rsidRDefault="0075338C" w:rsidP="00FF710F">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679C41FF" w14:textId="77777777" w:rsidR="0075338C" w:rsidRDefault="0075338C" w:rsidP="00FF710F">
            <w:pPr>
              <w:jc w:val="center"/>
              <w:rPr>
                <w:rFonts w:ascii="Arial" w:hAnsi="Arial" w:cs="Arial"/>
                <w:color w:val="6C6361"/>
                <w:sz w:val="24"/>
                <w:szCs w:val="24"/>
              </w:rPr>
            </w:pPr>
            <w:r>
              <w:rPr>
                <w:rFonts w:ascii="Arial" w:hAnsi="Arial" w:cs="Arial"/>
                <w:color w:val="6C6361"/>
                <w:sz w:val="24"/>
                <w:szCs w:val="24"/>
              </w:rPr>
              <w:t>The Faculty of Law,</w:t>
            </w:r>
          </w:p>
          <w:p w14:paraId="709CD3E9" w14:textId="77777777" w:rsidR="0075338C" w:rsidRPr="007E02E6" w:rsidRDefault="0075338C" w:rsidP="00FF710F">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4B7A90A6" w14:textId="77777777" w:rsidR="0075338C" w:rsidRPr="00D87ECF" w:rsidRDefault="0075338C" w:rsidP="00FF710F">
            <w:pPr>
              <w:jc w:val="center"/>
              <w:rPr>
                <w:rFonts w:ascii="Arial" w:hAnsi="Arial" w:cs="Arial"/>
                <w:color w:val="6C6361"/>
                <w:sz w:val="8"/>
                <w:szCs w:val="8"/>
              </w:rPr>
            </w:pPr>
          </w:p>
        </w:tc>
        <w:tc>
          <w:tcPr>
            <w:tcW w:w="5976" w:type="dxa"/>
            <w:shd w:val="clear" w:color="auto" w:fill="FFFFFF"/>
            <w:vAlign w:val="center"/>
          </w:tcPr>
          <w:p w14:paraId="380C05A6" w14:textId="77777777" w:rsidR="0075338C" w:rsidRPr="00D50772" w:rsidRDefault="0075338C" w:rsidP="00FF710F">
            <w:pPr>
              <w:spacing w:line="276" w:lineRule="auto"/>
              <w:rPr>
                <w:rFonts w:ascii="Arial" w:eastAsia="Times New Roman" w:hAnsi="Arial" w:cs="Arial"/>
                <w:noProof/>
                <w:sz w:val="20"/>
                <w:szCs w:val="20"/>
              </w:rPr>
            </w:pPr>
            <w:r w:rsidRPr="00690EE6">
              <w:rPr>
                <w:rFonts w:ascii="Arial" w:eastAsia="Times New Roman" w:hAnsi="Arial" w:cs="Arial"/>
                <w:noProof/>
                <w:sz w:val="20"/>
                <w:szCs w:val="20"/>
              </w:rPr>
              <w:drawing>
                <wp:anchor distT="0" distB="0" distL="114300" distR="114300" simplePos="0" relativeHeight="251659264" behindDoc="0" locked="0" layoutInCell="1" allowOverlap="1" wp14:anchorId="1D1A57E8" wp14:editId="16AB184E">
                  <wp:simplePos x="0" y="0"/>
                  <wp:positionH relativeFrom="column">
                    <wp:posOffset>3177540</wp:posOffset>
                  </wp:positionH>
                  <wp:positionV relativeFrom="paragraph">
                    <wp:posOffset>-51435</wp:posOffset>
                  </wp:positionV>
                  <wp:extent cx="539750" cy="539750"/>
                  <wp:effectExtent l="0" t="0" r="6350" b="6350"/>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CD02494" wp14:editId="18181D1B">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2CE0037C" w14:textId="77777777" w:rsidR="0075338C" w:rsidRPr="00E507B9" w:rsidRDefault="0075338C" w:rsidP="0075338C">
      <w:pPr>
        <w:spacing w:line="276" w:lineRule="auto"/>
        <w:jc w:val="left"/>
        <w:rPr>
          <w:rFonts w:ascii="Arial" w:hAnsi="Arial" w:cs="Arial"/>
          <w:sz w:val="12"/>
          <w:szCs w:val="18"/>
        </w:rPr>
      </w:pPr>
    </w:p>
    <w:tbl>
      <w:tblPr>
        <w:tblW w:w="10773" w:type="dxa"/>
        <w:jc w:val="center"/>
        <w:tblLook w:val="04A0" w:firstRow="1" w:lastRow="0" w:firstColumn="1" w:lastColumn="0" w:noHBand="0" w:noVBand="1"/>
      </w:tblPr>
      <w:tblGrid>
        <w:gridCol w:w="1985"/>
        <w:gridCol w:w="8788"/>
      </w:tblGrid>
      <w:tr w:rsidR="0075338C" w:rsidRPr="000F3FFC" w14:paraId="6A22D6DF" w14:textId="77777777" w:rsidTr="00FF710F">
        <w:trPr>
          <w:trHeight w:val="2501"/>
          <w:jc w:val="center"/>
        </w:trPr>
        <w:tc>
          <w:tcPr>
            <w:tcW w:w="1985" w:type="dxa"/>
            <w:shd w:val="clear" w:color="auto" w:fill="FFFFFF"/>
            <w:vAlign w:val="center"/>
          </w:tcPr>
          <w:p w14:paraId="28F28A29" w14:textId="77777777" w:rsidR="0075338C" w:rsidRPr="000F3FFC" w:rsidRDefault="0075338C" w:rsidP="00FF710F">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70215864" wp14:editId="4A48EE63">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7BAAFFC3" w14:textId="77777777" w:rsidR="0075338C" w:rsidRPr="00A71228" w:rsidRDefault="0075338C" w:rsidP="00FF710F">
            <w:pPr>
              <w:rPr>
                <w:rFonts w:ascii="Arial" w:hAnsi="Arial" w:cs="Arial"/>
                <w:color w:val="6C6361"/>
                <w:szCs w:val="21"/>
              </w:rPr>
            </w:pPr>
            <w:r w:rsidRPr="00A71228">
              <w:rPr>
                <w:rFonts w:ascii="Arial" w:hAnsi="Arial" w:cs="Arial"/>
                <w:color w:val="6C6361"/>
                <w:szCs w:val="21"/>
              </w:rPr>
              <w:t>Steven Gallagher was awarded a first class LL.B.  He was called to the Bar of England and Wales in 2006.  Steven teaches the equity and trusts courses for undergraduate and postgraduate students.  Steven also teaches a course on art, antiquities, cultural heritage and the law on the LLM programme.  Steven has presented continuing professional development courses for solicitors in Hong Kong on many topics associated with equity.  Steven’s research interests include equity and the law of trusts, cultural heritage law and legal history.</w:t>
            </w:r>
          </w:p>
        </w:tc>
      </w:tr>
    </w:tbl>
    <w:p w14:paraId="559A0CBE" w14:textId="77777777" w:rsidR="0075338C" w:rsidRPr="00E507B9" w:rsidRDefault="0075338C" w:rsidP="0075338C">
      <w:pPr>
        <w:spacing w:line="276" w:lineRule="auto"/>
        <w:jc w:val="left"/>
        <w:rPr>
          <w:rFonts w:ascii="Arial" w:hAnsi="Arial" w:cs="Arial"/>
          <w:sz w:val="12"/>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75338C" w:rsidRPr="00F373AA" w14:paraId="7ED0559A" w14:textId="77777777" w:rsidTr="00F373AA">
        <w:trPr>
          <w:trHeight w:val="1573"/>
          <w:jc w:val="center"/>
        </w:trPr>
        <w:tc>
          <w:tcPr>
            <w:tcW w:w="10773" w:type="dxa"/>
            <w:gridSpan w:val="2"/>
            <w:tcBorders>
              <w:top w:val="nil"/>
              <w:bottom w:val="nil"/>
            </w:tcBorders>
            <w:shd w:val="clear" w:color="auto" w:fill="FFFFFF" w:themeFill="background1"/>
            <w:vAlign w:val="center"/>
          </w:tcPr>
          <w:p w14:paraId="11E7A5CD" w14:textId="77777777" w:rsidR="0075338C" w:rsidRPr="00F373AA" w:rsidRDefault="0075338C" w:rsidP="00FF710F">
            <w:pPr>
              <w:spacing w:line="276" w:lineRule="auto"/>
              <w:rPr>
                <w:rFonts w:ascii="Arial" w:hAnsi="Arial" w:cs="Arial"/>
                <w:color w:val="6C6361"/>
                <w:sz w:val="16"/>
                <w:szCs w:val="16"/>
              </w:rPr>
            </w:pPr>
            <w:r w:rsidRPr="00F373AA">
              <w:rPr>
                <w:rFonts w:ascii="Arial" w:hAnsi="Arial" w:cs="Arial"/>
                <w:color w:val="6C6361"/>
                <w:sz w:val="16"/>
                <w:szCs w:val="16"/>
              </w:rPr>
              <w:t>The highly successful Marvel Cinematic Universe films portray incidents which raise many ethical and legal questions.  This three-hour seminar will provide an introduction and overview of the issues that arise in these films and other superhero films.  These legal issues range from the commonplace to the esoteric.  For the former we will consider, for example, intellectual property issues, the possibility of criminal and civil liability for personal injury and property damage, and the procedural and evidential issues that may arise with regard to prosecuting superheroes or receiving evidence from them.  The more esoteric topics considered include international humanitarian law, aviation law, the law and artificial intelligence and robotics, and space law.  No prior knowledge of the films or comics is necessary.  Apart from the international and outer space law issues, the law discussed will be the law of Hong Kong.</w:t>
            </w:r>
          </w:p>
        </w:tc>
      </w:tr>
      <w:tr w:rsidR="0075338C" w:rsidRPr="00F373AA" w14:paraId="1D656562" w14:textId="77777777" w:rsidTr="00FF710F">
        <w:trPr>
          <w:trHeight w:val="284"/>
          <w:jc w:val="center"/>
        </w:trPr>
        <w:tc>
          <w:tcPr>
            <w:tcW w:w="10773" w:type="dxa"/>
            <w:gridSpan w:val="2"/>
            <w:tcBorders>
              <w:top w:val="nil"/>
              <w:bottom w:val="nil"/>
            </w:tcBorders>
            <w:shd w:val="clear" w:color="auto" w:fill="F0EBE1"/>
            <w:vAlign w:val="center"/>
          </w:tcPr>
          <w:p w14:paraId="1970F4A0" w14:textId="77777777" w:rsidR="0075338C" w:rsidRPr="00F373AA" w:rsidRDefault="0075338C" w:rsidP="00FF710F">
            <w:pPr>
              <w:spacing w:line="276" w:lineRule="auto"/>
              <w:jc w:val="left"/>
              <w:rPr>
                <w:rFonts w:ascii="Arial" w:hAnsi="Arial" w:cs="Arial"/>
                <w:b/>
                <w:color w:val="524B48"/>
                <w:sz w:val="16"/>
                <w:szCs w:val="16"/>
              </w:rPr>
            </w:pPr>
            <w:r w:rsidRPr="00F373AA">
              <w:rPr>
                <w:rFonts w:ascii="Arial" w:hAnsi="Arial" w:cs="Arial"/>
                <w:b/>
                <w:color w:val="524B48"/>
                <w:sz w:val="16"/>
                <w:szCs w:val="16"/>
              </w:rPr>
              <w:t>Some of the questions considered in this seminar include:</w:t>
            </w:r>
          </w:p>
        </w:tc>
      </w:tr>
      <w:tr w:rsidR="0075338C" w:rsidRPr="00F373AA" w14:paraId="3BC8B025" w14:textId="77777777" w:rsidTr="00F373AA">
        <w:trPr>
          <w:trHeight w:val="3257"/>
          <w:jc w:val="center"/>
        </w:trPr>
        <w:tc>
          <w:tcPr>
            <w:tcW w:w="9072" w:type="dxa"/>
            <w:tcBorders>
              <w:top w:val="nil"/>
              <w:bottom w:val="nil"/>
              <w:right w:val="nil"/>
            </w:tcBorders>
            <w:shd w:val="clear" w:color="auto" w:fill="FFFFFF" w:themeFill="background1"/>
            <w:vAlign w:val="center"/>
          </w:tcPr>
          <w:p w14:paraId="55EF3079"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When Thanos killed/destroyed the Vision - was this murder or criminal damage?</w:t>
            </w:r>
          </w:p>
          <w:p w14:paraId="542383EC"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Is it murder for Blade to kill/destroy a vampire?</w:t>
            </w:r>
          </w:p>
          <w:p w14:paraId="7188D923"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Can we prosecute a vampire for murder if they are not alive?</w:t>
            </w:r>
          </w:p>
          <w:p w14:paraId="29FEFCD7"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Are the Green Goblin and the Joker legally insane?</w:t>
            </w:r>
          </w:p>
          <w:p w14:paraId="363697F3"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Is Loki’s mind control of Hawkeye insane or non-insane automatism - or something else?</w:t>
            </w:r>
          </w:p>
          <w:p w14:paraId="677028EE"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Who is responsible for death and destruction caused by an automated weapon or an android?</w:t>
            </w:r>
          </w:p>
          <w:p w14:paraId="54DF22A1"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Which court may have jurisdiction over a Norse god?</w:t>
            </w:r>
          </w:p>
          <w:p w14:paraId="0F40511C"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Do superheroes have to remove their masks to give evidence in court?</w:t>
            </w:r>
          </w:p>
          <w:p w14:paraId="317451C0"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Who pays for the cleanup when the Avengers save the world?</w:t>
            </w:r>
          </w:p>
          <w:p w14:paraId="5670FD87"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Is superhero damage covered in standard insurance policies?</w:t>
            </w:r>
          </w:p>
          <w:p w14:paraId="47BB0886"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May SHIELD use electronic surveillance on anyone?</w:t>
            </w:r>
          </w:p>
          <w:p w14:paraId="6D42C668"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May Spiderman sue if someone exposes his identity as Peter Parker?</w:t>
            </w:r>
          </w:p>
          <w:p w14:paraId="35C279CB"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After the “snap”, could those who returned claim the property they owned before?</w:t>
            </w:r>
          </w:p>
          <w:p w14:paraId="00C73DE3"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Is there a special law for space piracy?</w:t>
            </w:r>
          </w:p>
          <w:p w14:paraId="769DD878" w14:textId="77777777" w:rsidR="0075338C" w:rsidRPr="00F373AA" w:rsidRDefault="0075338C" w:rsidP="00FF710F">
            <w:pPr>
              <w:pStyle w:val="ListParagraph"/>
              <w:numPr>
                <w:ilvl w:val="0"/>
                <w:numId w:val="2"/>
              </w:numPr>
              <w:spacing w:line="276" w:lineRule="auto"/>
              <w:jc w:val="left"/>
              <w:rPr>
                <w:rFonts w:ascii="Arial" w:hAnsi="Arial" w:cs="Arial"/>
                <w:color w:val="6C6361"/>
                <w:sz w:val="16"/>
                <w:szCs w:val="16"/>
              </w:rPr>
            </w:pPr>
            <w:r w:rsidRPr="00F373AA">
              <w:rPr>
                <w:rFonts w:ascii="Arial" w:hAnsi="Arial" w:cs="Arial"/>
                <w:color w:val="6C6361"/>
                <w:sz w:val="16"/>
                <w:szCs w:val="16"/>
              </w:rPr>
              <w:t>Which court might have jurisdiction over the criminal actions of the Guardians of the Galaxy?</w:t>
            </w:r>
          </w:p>
        </w:tc>
        <w:tc>
          <w:tcPr>
            <w:tcW w:w="1701" w:type="dxa"/>
            <w:tcBorders>
              <w:top w:val="nil"/>
              <w:left w:val="nil"/>
              <w:bottom w:val="nil"/>
            </w:tcBorders>
            <w:shd w:val="clear" w:color="auto" w:fill="FFFFFF" w:themeFill="background1"/>
            <w:vAlign w:val="center"/>
          </w:tcPr>
          <w:p w14:paraId="20867DD7" w14:textId="77777777" w:rsidR="0075338C" w:rsidRPr="00F373AA" w:rsidRDefault="0075338C" w:rsidP="00FF710F">
            <w:pPr>
              <w:spacing w:line="276" w:lineRule="auto"/>
              <w:jc w:val="center"/>
              <w:rPr>
                <w:rFonts w:ascii="Arial" w:hAnsi="Arial" w:cs="Arial"/>
                <w:color w:val="6C6361"/>
                <w:sz w:val="16"/>
                <w:szCs w:val="16"/>
              </w:rPr>
            </w:pPr>
          </w:p>
          <w:p w14:paraId="62966510" w14:textId="77777777" w:rsidR="0075338C" w:rsidRPr="00F373AA" w:rsidRDefault="0075338C" w:rsidP="00FF710F">
            <w:pPr>
              <w:spacing w:line="276" w:lineRule="auto"/>
              <w:jc w:val="center"/>
              <w:rPr>
                <w:rFonts w:ascii="Arial" w:hAnsi="Arial" w:cs="Arial"/>
                <w:color w:val="6C6361"/>
                <w:sz w:val="16"/>
                <w:szCs w:val="16"/>
              </w:rPr>
            </w:pPr>
          </w:p>
          <w:p w14:paraId="3EB00D59" w14:textId="77777777" w:rsidR="0075338C" w:rsidRPr="00F373AA" w:rsidRDefault="0075338C" w:rsidP="00FF710F">
            <w:pPr>
              <w:spacing w:line="276" w:lineRule="auto"/>
              <w:jc w:val="center"/>
              <w:rPr>
                <w:rFonts w:ascii="Arial" w:hAnsi="Arial" w:cs="Arial"/>
                <w:color w:val="6C6361"/>
                <w:sz w:val="16"/>
                <w:szCs w:val="16"/>
              </w:rPr>
            </w:pPr>
          </w:p>
          <w:p w14:paraId="02FCF6D0" w14:textId="77777777" w:rsidR="0075338C" w:rsidRPr="00F373AA" w:rsidRDefault="0075338C" w:rsidP="00FF710F">
            <w:pPr>
              <w:spacing w:line="276" w:lineRule="auto"/>
              <w:jc w:val="center"/>
              <w:rPr>
                <w:rFonts w:ascii="Arial" w:hAnsi="Arial" w:cs="Arial"/>
                <w:color w:val="6C6361"/>
                <w:sz w:val="16"/>
                <w:szCs w:val="16"/>
              </w:rPr>
            </w:pPr>
          </w:p>
          <w:p w14:paraId="3D95371F" w14:textId="77777777" w:rsidR="0075338C" w:rsidRPr="00F373AA" w:rsidRDefault="0075338C" w:rsidP="00FF710F">
            <w:pPr>
              <w:spacing w:line="276" w:lineRule="auto"/>
              <w:jc w:val="center"/>
              <w:rPr>
                <w:rFonts w:ascii="Arial" w:hAnsi="Arial" w:cs="Arial"/>
                <w:color w:val="6C6361"/>
                <w:sz w:val="16"/>
                <w:szCs w:val="16"/>
              </w:rPr>
            </w:pPr>
          </w:p>
          <w:p w14:paraId="20706487" w14:textId="77777777" w:rsidR="0075338C" w:rsidRPr="00F373AA" w:rsidRDefault="0075338C" w:rsidP="00FF710F">
            <w:pPr>
              <w:spacing w:line="276" w:lineRule="auto"/>
              <w:jc w:val="center"/>
              <w:rPr>
                <w:rFonts w:ascii="Arial" w:hAnsi="Arial" w:cs="Arial"/>
                <w:color w:val="6C6361"/>
                <w:sz w:val="16"/>
                <w:szCs w:val="16"/>
              </w:rPr>
            </w:pPr>
          </w:p>
          <w:p w14:paraId="67EAF512" w14:textId="77777777" w:rsidR="0075338C" w:rsidRPr="00F373AA" w:rsidRDefault="0075338C" w:rsidP="00FF710F">
            <w:pPr>
              <w:spacing w:line="276" w:lineRule="auto"/>
              <w:jc w:val="center"/>
              <w:rPr>
                <w:rFonts w:ascii="Arial" w:hAnsi="Arial" w:cs="Arial"/>
                <w:color w:val="6C6361"/>
                <w:sz w:val="16"/>
                <w:szCs w:val="16"/>
              </w:rPr>
            </w:pPr>
            <w:r w:rsidRPr="00F373AA">
              <w:rPr>
                <w:rFonts w:ascii="Arial" w:hAnsi="Arial" w:cs="Arial"/>
                <w:noProof/>
                <w:color w:val="6C6361"/>
                <w:sz w:val="16"/>
                <w:szCs w:val="16"/>
              </w:rPr>
              <w:drawing>
                <wp:inline distT="0" distB="0" distL="0" distR="0" wp14:anchorId="6AEE21C1" wp14:editId="4C91E87E">
                  <wp:extent cx="892800" cy="1021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800" cy="1021690"/>
                          </a:xfrm>
                          <a:prstGeom prst="rect">
                            <a:avLst/>
                          </a:prstGeom>
                          <a:noFill/>
                          <a:ln>
                            <a:noFill/>
                          </a:ln>
                        </pic:spPr>
                      </pic:pic>
                    </a:graphicData>
                  </a:graphic>
                </wp:inline>
              </w:drawing>
            </w:r>
          </w:p>
        </w:tc>
      </w:tr>
    </w:tbl>
    <w:p w14:paraId="29FF8889" w14:textId="77777777" w:rsidR="00F373AA" w:rsidRPr="00F373AA" w:rsidRDefault="00F373AA" w:rsidP="00F373AA">
      <w:pPr>
        <w:spacing w:line="276" w:lineRule="auto"/>
        <w:rPr>
          <w:rFonts w:ascii="Arial" w:hAnsi="Arial" w:cs="Arial"/>
          <w:sz w:val="12"/>
          <w:szCs w:val="1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F373AA" w:rsidRPr="00B90951" w14:paraId="1E7443B0" w14:textId="77777777" w:rsidTr="00F373AA">
        <w:trPr>
          <w:trHeight w:val="284"/>
          <w:jc w:val="center"/>
        </w:trPr>
        <w:tc>
          <w:tcPr>
            <w:tcW w:w="1701" w:type="dxa"/>
            <w:tcBorders>
              <w:top w:val="nil"/>
              <w:left w:val="nil"/>
              <w:bottom w:val="single" w:sz="12" w:space="0" w:color="FFFFFF"/>
            </w:tcBorders>
            <w:shd w:val="clear" w:color="auto" w:fill="F0EBE1"/>
            <w:vAlign w:val="center"/>
          </w:tcPr>
          <w:p w14:paraId="4B25C1D1" w14:textId="77DA78B9"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028944CC" w14:textId="71F0F5B7"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EVT000000345</w:t>
            </w:r>
          </w:p>
        </w:tc>
        <w:tc>
          <w:tcPr>
            <w:tcW w:w="1701" w:type="dxa"/>
            <w:tcBorders>
              <w:top w:val="nil"/>
              <w:bottom w:val="single" w:sz="12" w:space="0" w:color="FFFFFF"/>
            </w:tcBorders>
            <w:shd w:val="clear" w:color="auto" w:fill="F0EBE1"/>
            <w:vAlign w:val="center"/>
          </w:tcPr>
          <w:p w14:paraId="6720FFBA" w14:textId="1E34CCCE"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59948E9E"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F373AA" w:rsidRPr="00B90951" w14:paraId="0DFFF51F" w14:textId="77777777" w:rsidTr="00F373AA">
        <w:trPr>
          <w:trHeight w:val="284"/>
          <w:jc w:val="center"/>
        </w:trPr>
        <w:tc>
          <w:tcPr>
            <w:tcW w:w="1701" w:type="dxa"/>
            <w:tcBorders>
              <w:top w:val="single" w:sz="12" w:space="0" w:color="FFFFFF"/>
              <w:left w:val="nil"/>
              <w:bottom w:val="single" w:sz="12" w:space="0" w:color="FFFFFF"/>
            </w:tcBorders>
            <w:shd w:val="clear" w:color="auto" w:fill="F0EBE1"/>
            <w:vAlign w:val="center"/>
          </w:tcPr>
          <w:p w14:paraId="6D55749A" w14:textId="5B6DB5D6"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49F39D61" w14:textId="77BBC611" w:rsidR="00F373AA" w:rsidRPr="0068266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4 October 2021 (Monday)</w:t>
            </w:r>
          </w:p>
        </w:tc>
        <w:tc>
          <w:tcPr>
            <w:tcW w:w="1701" w:type="dxa"/>
            <w:tcBorders>
              <w:top w:val="single" w:sz="12" w:space="0" w:color="FFFFFF"/>
              <w:bottom w:val="single" w:sz="12" w:space="0" w:color="FFFFFF"/>
            </w:tcBorders>
            <w:shd w:val="clear" w:color="auto" w:fill="F0EBE1"/>
            <w:vAlign w:val="center"/>
          </w:tcPr>
          <w:p w14:paraId="21E97AFE" w14:textId="1976ABD2"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3BD466E8"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F373AA" w:rsidRPr="00B90951" w14:paraId="28027E09" w14:textId="77777777" w:rsidTr="00F373AA">
        <w:trPr>
          <w:trHeight w:val="284"/>
          <w:jc w:val="center"/>
        </w:trPr>
        <w:tc>
          <w:tcPr>
            <w:tcW w:w="1701" w:type="dxa"/>
            <w:tcBorders>
              <w:top w:val="single" w:sz="12" w:space="0" w:color="FFFFFF"/>
              <w:left w:val="nil"/>
              <w:bottom w:val="single" w:sz="12" w:space="0" w:color="FFFFFF"/>
            </w:tcBorders>
            <w:shd w:val="clear" w:color="auto" w:fill="F0EBE1"/>
            <w:vAlign w:val="center"/>
          </w:tcPr>
          <w:p w14:paraId="2F6B4CC7" w14:textId="6CD6161C"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658C9920" w14:textId="77777777"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71CBFC2E" w14:textId="5DDB5895"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7D7A975A"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0FC71D57" w:rsidR="00F373AA" w:rsidRPr="0068266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F373AA" w:rsidRPr="00B90951" w14:paraId="44834AD8" w14:textId="77777777" w:rsidTr="00F373AA">
        <w:trPr>
          <w:trHeight w:val="284"/>
          <w:jc w:val="center"/>
        </w:trPr>
        <w:tc>
          <w:tcPr>
            <w:tcW w:w="1701" w:type="dxa"/>
            <w:tcBorders>
              <w:top w:val="single" w:sz="12" w:space="0" w:color="FFFFFF"/>
              <w:left w:val="nil"/>
              <w:bottom w:val="nil"/>
            </w:tcBorders>
            <w:shd w:val="clear" w:color="auto" w:fill="F0EBE1"/>
            <w:vAlign w:val="center"/>
          </w:tcPr>
          <w:p w14:paraId="02A9EAE0"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BA4516A" w14:textId="77777777" w:rsidR="00F373AA"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9D438A2" w14:textId="77777777" w:rsidR="00F373AA" w:rsidRPr="002D6743"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D8D899F" w14:textId="77777777" w:rsidR="00F373AA" w:rsidRPr="00B90951"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9E592D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73E580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DC316C6"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63ACDDA9" w14:textId="77777777" w:rsidR="00F373AA" w:rsidRDefault="00F373AA" w:rsidP="00F373AA">
            <w:pPr>
              <w:jc w:val="left"/>
              <w:rPr>
                <w:rFonts w:ascii="Arial" w:hAnsi="Arial" w:cs="Arial"/>
                <w:b/>
                <w:color w:val="6C6361"/>
                <w:sz w:val="20"/>
                <w:szCs w:val="20"/>
              </w:rPr>
            </w:pPr>
          </w:p>
          <w:p w14:paraId="683125B5" w14:textId="77777777" w:rsidR="00F373AA" w:rsidRDefault="00F373AA" w:rsidP="00F373AA">
            <w:pPr>
              <w:jc w:val="left"/>
              <w:rPr>
                <w:rFonts w:ascii="Arial" w:hAnsi="Arial" w:cs="Arial"/>
                <w:b/>
                <w:color w:val="6C6361"/>
                <w:sz w:val="20"/>
                <w:szCs w:val="20"/>
              </w:rPr>
            </w:pPr>
          </w:p>
          <w:p w14:paraId="1CAAF6AF" w14:textId="77777777" w:rsidR="00F373AA" w:rsidRDefault="00F373AA" w:rsidP="00F373AA">
            <w:pPr>
              <w:jc w:val="left"/>
              <w:rPr>
                <w:rFonts w:ascii="Arial" w:hAnsi="Arial" w:cs="Arial"/>
                <w:b/>
                <w:color w:val="6C6361"/>
                <w:sz w:val="20"/>
                <w:szCs w:val="20"/>
              </w:rPr>
            </w:pPr>
          </w:p>
          <w:p w14:paraId="504D7FCC" w14:textId="40807F93" w:rsidR="00F373AA" w:rsidRPr="00B90951" w:rsidRDefault="00F373AA" w:rsidP="00F373AA">
            <w:pPr>
              <w:jc w:val="lef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0509194" wp14:editId="4DEDA89E">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82C9518" w14:textId="77777777" w:rsidR="00F373AA" w:rsidRPr="00B90951" w:rsidRDefault="00F373AA" w:rsidP="00F373AA">
            <w:pPr>
              <w:jc w:val="lef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7160875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39A0A43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60EF9" w14:textId="77777777" w:rsidR="006722F9" w:rsidRDefault="006722F9" w:rsidP="00546556">
      <w:r>
        <w:separator/>
      </w:r>
    </w:p>
  </w:endnote>
  <w:endnote w:type="continuationSeparator" w:id="0">
    <w:p w14:paraId="3F31EC6E" w14:textId="77777777" w:rsidR="006722F9" w:rsidRDefault="006722F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2DC77" w14:textId="77777777" w:rsidR="006722F9" w:rsidRDefault="006722F9" w:rsidP="00546556">
      <w:r>
        <w:separator/>
      </w:r>
    </w:p>
  </w:footnote>
  <w:footnote w:type="continuationSeparator" w:id="0">
    <w:p w14:paraId="6CF055CC" w14:textId="77777777" w:rsidR="006722F9" w:rsidRDefault="006722F9"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5"/>
  <w:displayBackgroundShape/>
  <w:gutterAtTop/>
  <w:documentProtection w:edit="forms" w:enforcement="1" w:cryptProviderType="rsaAES" w:cryptAlgorithmClass="hash" w:cryptAlgorithmType="typeAny" w:cryptAlgorithmSid="14" w:cryptSpinCount="100000" w:hash="3XttXk+U7OUvuO7JzYDrtaA1hqjtw2qg7+oSmwWzwE2eyF8hLU4bxAXh7JlfY01S26UCbMQqNIATQ2uZs8PulA==" w:salt="bqPlgbxyD1rKV6uuU1etS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4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529</Words>
  <Characters>2767</Characters>
  <Application>Microsoft Office Word</Application>
  <DocSecurity>0</DocSecurity>
  <Lines>83</Lines>
  <Paragraphs>58</Paragraphs>
  <ScaleCrop>false</ScaleCrop>
  <HeadingPairs>
    <vt:vector size="2" baseType="variant">
      <vt:variant>
        <vt:lpstr>Title</vt:lpstr>
      </vt:variant>
      <vt:variant>
        <vt:i4>1</vt:i4>
      </vt:variant>
    </vt:vector>
  </HeadingPairs>
  <TitlesOfParts>
    <vt:vector size="1" baseType="lpstr">
      <vt:lpstr>CPD Course: Superheroes and the Law</vt:lpstr>
    </vt:vector>
  </TitlesOfParts>
  <Manager>Tyrone Tsang</Manager>
  <Company>The Profectional Company Limited</Company>
  <LinksUpToDate>false</LinksUpToDate>
  <CharactersWithSpaces>3238</CharactersWithSpaces>
  <SharedDoc>false</SharedDoc>
  <HyperlinkBase>http://download.profectional.com/events/EVT000000345.docx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Superheroes and the Law</dc:title>
  <dc:subject>CPD Course: Superheroes and the Law</dc:subject>
  <dc:creator>The Profectional Company Limited</dc:creator>
  <cp:keywords>Profectional; Kornerstone; CPD; CPT; CLE; CE; RME; Steven Gallagher; Professor of Practice in Law; Associate Dean (Teaching &amp; Learning);The Faculty of Law; The Chinese University of Hong Kong</cp:keywords>
  <dc:description/>
  <cp:lastModifiedBy>Microsoft Office User</cp:lastModifiedBy>
  <cp:revision>52</cp:revision>
  <cp:lastPrinted>2020-09-23T08:22:00Z</cp:lastPrinted>
  <dcterms:created xsi:type="dcterms:W3CDTF">2017-01-12T02:41:00Z</dcterms:created>
  <dcterms:modified xsi:type="dcterms:W3CDTF">2021-10-05T06:24:00Z</dcterms:modified>
  <cp:category/>
</cp:coreProperties>
</file>