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F53C4" w14:textId="77777777" w:rsidR="004D43AC" w:rsidRPr="004D43AC" w:rsidRDefault="004D43AC" w:rsidP="004D43AC">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4D43AC" w:rsidRPr="00523A64" w14:paraId="30F04598" w14:textId="77777777" w:rsidTr="00CF6E2D">
        <w:trPr>
          <w:trHeight w:val="3119"/>
          <w:jc w:val="center"/>
        </w:trPr>
        <w:tc>
          <w:tcPr>
            <w:tcW w:w="4797" w:type="dxa"/>
            <w:shd w:val="clear" w:color="auto" w:fill="FFFFFF"/>
            <w:vAlign w:val="center"/>
          </w:tcPr>
          <w:p w14:paraId="324D5315" w14:textId="77777777" w:rsidR="004D43AC" w:rsidRPr="001A3018" w:rsidRDefault="004D43AC" w:rsidP="00CF6E2D">
            <w:pPr>
              <w:jc w:val="center"/>
              <w:rPr>
                <w:rFonts w:ascii="Arial" w:hAnsi="Arial" w:cs="Arial"/>
                <w:b/>
                <w:bCs/>
                <w:color w:val="524B48"/>
                <w:sz w:val="4"/>
                <w:szCs w:val="4"/>
              </w:rPr>
            </w:pPr>
          </w:p>
          <w:p w14:paraId="5B790E0A" w14:textId="77777777" w:rsidR="004D43AC" w:rsidRDefault="004D43AC" w:rsidP="00CF6E2D">
            <w:pPr>
              <w:jc w:val="center"/>
              <w:rPr>
                <w:rStyle w:val="Hyperlink"/>
                <w:rFonts w:ascii="Arial" w:hAnsi="Arial" w:cs="Arial"/>
                <w:b/>
                <w:bCs/>
                <w:color w:val="524B48"/>
                <w:sz w:val="32"/>
                <w:szCs w:val="32"/>
                <w:u w:val="none"/>
              </w:rPr>
            </w:pPr>
            <w:r w:rsidRPr="00CF685C">
              <w:fldChar w:fldCharType="begin"/>
            </w:r>
            <w:r>
              <w:instrText>HYPERLINK "http://cpd.hk/evt000000359/"</w:instrText>
            </w:r>
            <w:r w:rsidRPr="00CF685C">
              <w:fldChar w:fldCharType="separate"/>
            </w:r>
            <w:r>
              <w:t xml:space="preserve"> </w:t>
            </w:r>
            <w:r>
              <w:rPr>
                <w:rStyle w:val="Hyperlink"/>
                <w:rFonts w:ascii="Arial" w:hAnsi="Arial" w:cs="Arial"/>
                <w:b/>
                <w:bCs/>
                <w:color w:val="524B48"/>
                <w:sz w:val="32"/>
                <w:szCs w:val="32"/>
                <w:u w:val="none"/>
              </w:rPr>
              <w:t>Update -</w:t>
            </w:r>
          </w:p>
          <w:p w14:paraId="4E1C856D" w14:textId="77777777" w:rsidR="004D43AC" w:rsidRDefault="004D43AC" w:rsidP="00CF6E2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The Small House Policy</w:t>
            </w:r>
          </w:p>
          <w:p w14:paraId="373780BD" w14:textId="77777777" w:rsidR="004D43AC" w:rsidRDefault="004D43AC" w:rsidP="00CF6E2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After the Judgment of</w:t>
            </w:r>
          </w:p>
          <w:p w14:paraId="675299D7" w14:textId="77777777" w:rsidR="004D43AC" w:rsidRDefault="004D43AC" w:rsidP="00CF6E2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the Court of Final Appeal</w:t>
            </w:r>
          </w:p>
          <w:p w14:paraId="66E4BC5F" w14:textId="77777777" w:rsidR="004D43AC" w:rsidRDefault="004D43AC" w:rsidP="00CF6E2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Kwok Cheuk Kin</w:t>
            </w:r>
          </w:p>
          <w:p w14:paraId="701B7E99" w14:textId="77777777" w:rsidR="004D43AC" w:rsidRDefault="004D43AC" w:rsidP="00CF6E2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v Director of Lands</w:t>
            </w:r>
          </w:p>
          <w:p w14:paraId="69D4979C" w14:textId="77777777" w:rsidR="004D43AC" w:rsidRDefault="004D43AC" w:rsidP="00CF6E2D">
            <w:pPr>
              <w:jc w:val="center"/>
              <w:rPr>
                <w:rStyle w:val="Hyperlink"/>
                <w:rFonts w:ascii="Arial" w:hAnsi="Arial" w:cs="Arial"/>
                <w:b/>
                <w:bCs/>
                <w:color w:val="524B48"/>
                <w:sz w:val="32"/>
                <w:szCs w:val="32"/>
                <w:u w:val="none"/>
              </w:rPr>
            </w:pPr>
            <w:r w:rsidRPr="00002A21">
              <w:rPr>
                <w:rStyle w:val="Hyperlink"/>
                <w:rFonts w:ascii="Arial" w:hAnsi="Arial" w:cs="Arial"/>
                <w:b/>
                <w:bCs/>
                <w:color w:val="524B48"/>
                <w:sz w:val="32"/>
                <w:szCs w:val="32"/>
                <w:u w:val="none"/>
              </w:rPr>
              <w:t>[2021] HKCFA 38</w:t>
            </w:r>
          </w:p>
          <w:p w14:paraId="1BC92865" w14:textId="77777777" w:rsidR="004D43AC" w:rsidRPr="00C65AFD" w:rsidRDefault="004D43AC" w:rsidP="00CF6E2D">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0F1F73AD" w14:textId="77777777" w:rsidR="004D43AC" w:rsidRPr="00C65AFD" w:rsidRDefault="004D43AC" w:rsidP="00CF6E2D">
            <w:pPr>
              <w:jc w:val="center"/>
              <w:rPr>
                <w:rFonts w:ascii="Arial" w:hAnsi="Arial" w:cs="Arial"/>
                <w:i/>
                <w:color w:val="6C6361"/>
                <w:sz w:val="24"/>
                <w:szCs w:val="24"/>
              </w:rPr>
            </w:pPr>
            <w:r w:rsidRPr="00C65AFD">
              <w:rPr>
                <w:rFonts w:ascii="Arial" w:hAnsi="Arial" w:cs="Arial"/>
                <w:i/>
                <w:color w:val="6C6361"/>
                <w:sz w:val="24"/>
                <w:szCs w:val="24"/>
              </w:rPr>
              <w:t>by</w:t>
            </w:r>
          </w:p>
          <w:p w14:paraId="44A5642D" w14:textId="77777777" w:rsidR="004D43AC" w:rsidRDefault="004D43AC" w:rsidP="00CF6E2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1800F242" w14:textId="77777777" w:rsidR="004D43AC" w:rsidRDefault="004D43AC" w:rsidP="00CF6E2D">
            <w:pPr>
              <w:jc w:val="center"/>
              <w:rPr>
                <w:rFonts w:ascii="Arial" w:hAnsi="Arial" w:cs="Arial"/>
                <w:color w:val="6C6361"/>
                <w:sz w:val="24"/>
                <w:szCs w:val="24"/>
              </w:rPr>
            </w:pPr>
            <w:r>
              <w:rPr>
                <w:rFonts w:ascii="Arial" w:hAnsi="Arial" w:cs="Arial"/>
                <w:color w:val="6C6361"/>
                <w:sz w:val="24"/>
                <w:szCs w:val="24"/>
              </w:rPr>
              <w:t>Professor of Practice in Law,</w:t>
            </w:r>
          </w:p>
          <w:p w14:paraId="775A94A2" w14:textId="77777777" w:rsidR="004D43AC" w:rsidRDefault="004D43AC" w:rsidP="00CF6E2D">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6904EFB4" w14:textId="77777777" w:rsidR="004D43AC" w:rsidRDefault="004D43AC" w:rsidP="00CF6E2D">
            <w:pPr>
              <w:jc w:val="center"/>
              <w:rPr>
                <w:rFonts w:ascii="Arial" w:hAnsi="Arial" w:cs="Arial"/>
                <w:color w:val="6C6361"/>
                <w:sz w:val="24"/>
                <w:szCs w:val="24"/>
              </w:rPr>
            </w:pPr>
            <w:r>
              <w:rPr>
                <w:rFonts w:ascii="Arial" w:hAnsi="Arial" w:cs="Arial"/>
                <w:color w:val="6C6361"/>
                <w:sz w:val="24"/>
                <w:szCs w:val="24"/>
              </w:rPr>
              <w:t>The Faculty of Law,</w:t>
            </w:r>
          </w:p>
          <w:p w14:paraId="7D6CB91C" w14:textId="77777777" w:rsidR="004D43AC" w:rsidRPr="007E02E6" w:rsidRDefault="004D43AC" w:rsidP="00CF6E2D">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4F065684" w14:textId="77777777" w:rsidR="004D43AC" w:rsidRPr="00D87ECF" w:rsidRDefault="004D43AC" w:rsidP="00CF6E2D">
            <w:pPr>
              <w:jc w:val="center"/>
              <w:rPr>
                <w:rFonts w:ascii="Arial" w:hAnsi="Arial" w:cs="Arial"/>
                <w:color w:val="6C6361"/>
                <w:sz w:val="8"/>
                <w:szCs w:val="8"/>
              </w:rPr>
            </w:pPr>
          </w:p>
        </w:tc>
        <w:tc>
          <w:tcPr>
            <w:tcW w:w="5976" w:type="dxa"/>
            <w:shd w:val="clear" w:color="auto" w:fill="FFFFFF"/>
            <w:vAlign w:val="center"/>
          </w:tcPr>
          <w:p w14:paraId="4131DCCC" w14:textId="77777777" w:rsidR="004D43AC" w:rsidRPr="00D50772" w:rsidRDefault="004D43AC" w:rsidP="00CF6E2D">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319EA2BC" wp14:editId="2DD5DE1D">
                  <wp:simplePos x="0" y="0"/>
                  <wp:positionH relativeFrom="column">
                    <wp:posOffset>3187065</wp:posOffset>
                  </wp:positionH>
                  <wp:positionV relativeFrom="paragraph">
                    <wp:posOffset>-541020</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0B6D3E2" wp14:editId="00EB3450">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0CAA96A3" w14:textId="77777777" w:rsidR="004D43AC" w:rsidRPr="00F33BE6" w:rsidRDefault="004D43AC" w:rsidP="004D43AC">
      <w:pPr>
        <w:spacing w:line="276" w:lineRule="auto"/>
        <w:jc w:val="left"/>
        <w:rPr>
          <w:rFonts w:ascii="Arial" w:hAnsi="Arial" w:cs="Arial"/>
          <w:sz w:val="20"/>
          <w:szCs w:val="14"/>
        </w:rPr>
      </w:pPr>
    </w:p>
    <w:tbl>
      <w:tblPr>
        <w:tblW w:w="10773" w:type="dxa"/>
        <w:jc w:val="center"/>
        <w:tblLook w:val="04A0" w:firstRow="1" w:lastRow="0" w:firstColumn="1" w:lastColumn="0" w:noHBand="0" w:noVBand="1"/>
      </w:tblPr>
      <w:tblGrid>
        <w:gridCol w:w="1985"/>
        <w:gridCol w:w="8788"/>
      </w:tblGrid>
      <w:tr w:rsidR="004D43AC" w:rsidRPr="000F3FFC" w14:paraId="2FE0C3AF" w14:textId="77777777" w:rsidTr="00CF6E2D">
        <w:trPr>
          <w:trHeight w:val="2515"/>
          <w:jc w:val="center"/>
        </w:trPr>
        <w:tc>
          <w:tcPr>
            <w:tcW w:w="1985" w:type="dxa"/>
            <w:shd w:val="clear" w:color="auto" w:fill="FFFFFF"/>
            <w:vAlign w:val="center"/>
          </w:tcPr>
          <w:p w14:paraId="0761AA75" w14:textId="77777777" w:rsidR="004D43AC" w:rsidRPr="000F3FFC" w:rsidRDefault="004D43AC" w:rsidP="00CF6E2D">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5A427ECF" wp14:editId="4407B4CF">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48D509AB" w14:textId="77777777" w:rsidR="004D43AC" w:rsidRPr="001900E2" w:rsidRDefault="004D43AC" w:rsidP="00CF6E2D">
            <w:pPr>
              <w:rPr>
                <w:rFonts w:ascii="Arial" w:hAnsi="Arial" w:cs="Arial"/>
                <w:color w:val="6C6361"/>
                <w:sz w:val="21"/>
                <w:szCs w:val="21"/>
              </w:rPr>
            </w:pPr>
            <w:r w:rsidRPr="00227800">
              <w:rPr>
                <w:rFonts w:ascii="Arial" w:hAnsi="Arial" w:cs="Arial"/>
                <w:color w:val="6C6361"/>
                <w:sz w:val="24"/>
                <w:szCs w:val="21"/>
              </w:rPr>
              <w:t>Steven Gallagher was awarded a first class LL.B.  He was called to the Bar of England and Wales in 2006.  Steven teaches the equity and trusts courses for undergraduate and postgraduate students.  Steven also teaches a course on art, antiquities, cultural heritage and the law on the LLM programme.  Steven has presented continuing professional development courses for solicitors in Hong Kong on many topics associated with equity.  Steven’s research interests include equity and the law of trusts, cultural heritage l</w:t>
            </w:r>
            <w:r>
              <w:rPr>
                <w:rFonts w:ascii="Arial" w:hAnsi="Arial" w:cs="Arial"/>
                <w:color w:val="6C6361"/>
                <w:sz w:val="24"/>
                <w:szCs w:val="21"/>
              </w:rPr>
              <w:t>aw, legal history and law and technology.</w:t>
            </w:r>
          </w:p>
        </w:tc>
      </w:tr>
    </w:tbl>
    <w:p w14:paraId="5CBFCCE4" w14:textId="77777777" w:rsidR="004D43AC" w:rsidRPr="00F33BE6" w:rsidRDefault="004D43AC" w:rsidP="004D43AC">
      <w:pPr>
        <w:spacing w:line="276" w:lineRule="auto"/>
        <w:jc w:val="left"/>
        <w:rPr>
          <w:rFonts w:ascii="Arial" w:hAnsi="Arial" w:cs="Arial"/>
          <w:sz w:val="20"/>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4D43AC" w:rsidRPr="002A7412" w14:paraId="0669D4B1" w14:textId="77777777" w:rsidTr="00CF6E2D">
        <w:trPr>
          <w:trHeight w:val="6204"/>
          <w:jc w:val="center"/>
        </w:trPr>
        <w:tc>
          <w:tcPr>
            <w:tcW w:w="10773" w:type="dxa"/>
            <w:tcBorders>
              <w:top w:val="nil"/>
              <w:bottom w:val="nil"/>
              <w:right w:val="nil"/>
            </w:tcBorders>
            <w:shd w:val="clear" w:color="auto" w:fill="FFFFFF" w:themeFill="background1"/>
            <w:vAlign w:val="center"/>
          </w:tcPr>
          <w:p w14:paraId="45242922" w14:textId="77777777" w:rsidR="004D43AC" w:rsidRDefault="004D43AC" w:rsidP="00CF6E2D">
            <w:pPr>
              <w:spacing w:line="276" w:lineRule="auto"/>
              <w:rPr>
                <w:rFonts w:ascii="Arial" w:hAnsi="Arial" w:cs="Arial"/>
                <w:color w:val="6C6361"/>
                <w:sz w:val="23"/>
                <w:szCs w:val="23"/>
              </w:rPr>
            </w:pPr>
            <w:r w:rsidRPr="005E7F0A">
              <w:rPr>
                <w:rFonts w:ascii="Arial" w:hAnsi="Arial" w:cs="Arial"/>
                <w:color w:val="6C6361"/>
                <w:sz w:val="23"/>
                <w:szCs w:val="23"/>
              </w:rPr>
              <w:t>This three-hour course will consider the impact of the judgment of the Court of Final Appeal, in Kwok Cheuk Kin v Director of Lands [2021] HKCFA</w:t>
            </w:r>
            <w:r>
              <w:rPr>
                <w:rFonts w:ascii="Arial" w:hAnsi="Arial" w:cs="Arial"/>
                <w:color w:val="6C6361"/>
                <w:sz w:val="23"/>
                <w:szCs w:val="23"/>
              </w:rPr>
              <w:t xml:space="preserve"> 38, on the Small House Policy.</w:t>
            </w:r>
          </w:p>
          <w:p w14:paraId="174AE32F" w14:textId="77777777" w:rsidR="004D43AC" w:rsidRDefault="004D43AC" w:rsidP="00CF6E2D">
            <w:pPr>
              <w:spacing w:line="276" w:lineRule="auto"/>
              <w:rPr>
                <w:rFonts w:ascii="Arial" w:hAnsi="Arial" w:cs="Arial"/>
                <w:color w:val="6C6361"/>
                <w:sz w:val="23"/>
                <w:szCs w:val="23"/>
              </w:rPr>
            </w:pPr>
          </w:p>
          <w:p w14:paraId="2EFA2FC8" w14:textId="77777777" w:rsidR="004D43AC" w:rsidRDefault="004D43AC" w:rsidP="00CF6E2D">
            <w:pPr>
              <w:spacing w:line="276" w:lineRule="auto"/>
              <w:rPr>
                <w:rFonts w:ascii="Arial" w:hAnsi="Arial" w:cs="Arial"/>
                <w:color w:val="6C6361"/>
                <w:sz w:val="23"/>
                <w:szCs w:val="23"/>
              </w:rPr>
            </w:pPr>
            <w:r w:rsidRPr="005E7F0A">
              <w:rPr>
                <w:rFonts w:ascii="Arial" w:hAnsi="Arial" w:cs="Arial"/>
                <w:color w:val="6C6361"/>
                <w:sz w:val="23"/>
                <w:szCs w:val="23"/>
              </w:rPr>
              <w:t>In Kwok Cheuk Kin v Director of Lands, the Court of Final Appeal dismissed the appellant’s appeal that the Policy was invalid as it is discriminatory.</w:t>
            </w:r>
            <w:r>
              <w:rPr>
                <w:rFonts w:ascii="Arial" w:hAnsi="Arial" w:cs="Arial"/>
                <w:color w:val="6C6361"/>
                <w:sz w:val="23"/>
                <w:szCs w:val="23"/>
              </w:rPr>
              <w:t xml:space="preserve"> </w:t>
            </w:r>
            <w:r w:rsidRPr="005E7F0A">
              <w:rPr>
                <w:rFonts w:ascii="Arial" w:hAnsi="Arial" w:cs="Arial"/>
                <w:color w:val="6C6361"/>
                <w:sz w:val="23"/>
                <w:szCs w:val="23"/>
              </w:rPr>
              <w:t xml:space="preserve"> The Court also confirmed the Policy included the provision of government land to male indigenous villagers at concessionary rat</w:t>
            </w:r>
            <w:r>
              <w:rPr>
                <w:rFonts w:ascii="Arial" w:hAnsi="Arial" w:cs="Arial"/>
                <w:color w:val="6C6361"/>
                <w:sz w:val="23"/>
                <w:szCs w:val="23"/>
              </w:rPr>
              <w:t>es under Private Treaty Grant.</w:t>
            </w:r>
          </w:p>
          <w:p w14:paraId="4F07DDDA" w14:textId="77777777" w:rsidR="004D43AC" w:rsidRDefault="004D43AC" w:rsidP="00CF6E2D">
            <w:pPr>
              <w:spacing w:line="276" w:lineRule="auto"/>
              <w:rPr>
                <w:rFonts w:ascii="Arial" w:hAnsi="Arial" w:cs="Arial"/>
                <w:color w:val="6C6361"/>
                <w:sz w:val="23"/>
                <w:szCs w:val="23"/>
              </w:rPr>
            </w:pPr>
          </w:p>
          <w:p w14:paraId="7BD6D7FF" w14:textId="77777777" w:rsidR="004D43AC" w:rsidRDefault="004D43AC" w:rsidP="00CF6E2D">
            <w:pPr>
              <w:spacing w:line="276" w:lineRule="auto"/>
              <w:rPr>
                <w:rFonts w:ascii="Arial" w:hAnsi="Arial" w:cs="Arial"/>
                <w:color w:val="6C6361"/>
                <w:sz w:val="23"/>
                <w:szCs w:val="23"/>
              </w:rPr>
            </w:pPr>
            <w:r w:rsidRPr="005E7F0A">
              <w:rPr>
                <w:rFonts w:ascii="Arial" w:hAnsi="Arial" w:cs="Arial"/>
                <w:color w:val="6C6361"/>
                <w:sz w:val="23"/>
                <w:szCs w:val="23"/>
              </w:rPr>
              <w:t xml:space="preserve">This seminar will consider the arguments of all parties and the judgments below as considered by the Court of Final Appeal in framing its judgment. </w:t>
            </w:r>
            <w:r>
              <w:rPr>
                <w:rFonts w:ascii="Arial" w:hAnsi="Arial" w:cs="Arial"/>
                <w:color w:val="6C6361"/>
                <w:sz w:val="23"/>
                <w:szCs w:val="23"/>
              </w:rPr>
              <w:t xml:space="preserve"> </w:t>
            </w:r>
            <w:r w:rsidRPr="005E7F0A">
              <w:rPr>
                <w:rFonts w:ascii="Arial" w:hAnsi="Arial" w:cs="Arial"/>
                <w:color w:val="6C6361"/>
                <w:sz w:val="23"/>
                <w:szCs w:val="23"/>
              </w:rPr>
              <w:t>The seminar will consider the historical development of the policy under the colonial and post-colonial governments to analyse whether the Policy was the grant of a privilege or the recognition of an existing custo</w:t>
            </w:r>
            <w:r>
              <w:rPr>
                <w:rFonts w:ascii="Arial" w:hAnsi="Arial" w:cs="Arial"/>
                <w:color w:val="6C6361"/>
                <w:sz w:val="23"/>
                <w:szCs w:val="23"/>
              </w:rPr>
              <w:t xml:space="preserve">m and possibly customary right.  </w:t>
            </w:r>
            <w:r w:rsidRPr="005E7F0A">
              <w:rPr>
                <w:rFonts w:ascii="Arial" w:hAnsi="Arial" w:cs="Arial"/>
                <w:color w:val="6C6361"/>
                <w:sz w:val="23"/>
                <w:szCs w:val="23"/>
              </w:rPr>
              <w:t>The seminar will also consider whether, even if it is a traditional or customary right, perhaps protected by the Convention for the Extension of Hong Kong Territory (The Second Convention of Peking, 1898), the Blake Proclamation, The Joint Declaration of the People’s Republic of China and the United Kingdom, and/or the Basic Law, such protection would or should trump anti-discrimination measures that have been introduce</w:t>
            </w:r>
            <w:r>
              <w:rPr>
                <w:rFonts w:ascii="Arial" w:hAnsi="Arial" w:cs="Arial"/>
                <w:color w:val="6C6361"/>
                <w:sz w:val="23"/>
                <w:szCs w:val="23"/>
              </w:rPr>
              <w:t>d into Hong Kong’s legislation.</w:t>
            </w:r>
          </w:p>
          <w:p w14:paraId="7C294FBD" w14:textId="77777777" w:rsidR="004D43AC" w:rsidRDefault="004D43AC" w:rsidP="00CF6E2D">
            <w:pPr>
              <w:spacing w:line="276" w:lineRule="auto"/>
              <w:rPr>
                <w:rFonts w:ascii="Arial" w:hAnsi="Arial" w:cs="Arial"/>
                <w:color w:val="6C6361"/>
                <w:sz w:val="23"/>
                <w:szCs w:val="23"/>
              </w:rPr>
            </w:pPr>
          </w:p>
          <w:p w14:paraId="57E4FA79" w14:textId="77777777" w:rsidR="004D43AC" w:rsidRPr="002A7412" w:rsidRDefault="004D43AC" w:rsidP="00CF6E2D">
            <w:pPr>
              <w:spacing w:line="276" w:lineRule="auto"/>
              <w:rPr>
                <w:rFonts w:ascii="Arial" w:hAnsi="Arial" w:cs="Arial"/>
                <w:color w:val="6C6361"/>
                <w:sz w:val="23"/>
                <w:szCs w:val="23"/>
              </w:rPr>
            </w:pPr>
            <w:r w:rsidRPr="005E7F0A">
              <w:rPr>
                <w:rFonts w:ascii="Arial" w:hAnsi="Arial" w:cs="Arial"/>
                <w:color w:val="6C6361"/>
                <w:sz w:val="23"/>
                <w:szCs w:val="23"/>
              </w:rPr>
              <w:t xml:space="preserve">The seminar will also consider issues that the Court of Final Appeal did not address in its judgment, for example the abuses of the Policy. </w:t>
            </w:r>
            <w:r>
              <w:rPr>
                <w:rFonts w:ascii="Arial" w:hAnsi="Arial" w:cs="Arial"/>
                <w:color w:val="6C6361"/>
                <w:sz w:val="23"/>
                <w:szCs w:val="23"/>
              </w:rPr>
              <w:t xml:space="preserve"> </w:t>
            </w:r>
            <w:r w:rsidRPr="005E7F0A">
              <w:rPr>
                <w:rFonts w:ascii="Arial" w:hAnsi="Arial" w:cs="Arial"/>
                <w:color w:val="6C6361"/>
                <w:sz w:val="23"/>
                <w:szCs w:val="23"/>
              </w:rPr>
              <w:t>In the light of all these considerations, the seminar will conclude on t</w:t>
            </w:r>
            <w:r>
              <w:rPr>
                <w:rFonts w:ascii="Arial" w:hAnsi="Arial" w:cs="Arial"/>
                <w:color w:val="6C6361"/>
                <w:sz w:val="23"/>
                <w:szCs w:val="23"/>
              </w:rPr>
              <w:t>he likely future of the Policy.</w:t>
            </w:r>
          </w:p>
        </w:tc>
      </w:tr>
    </w:tbl>
    <w:p w14:paraId="251150E3" w14:textId="77777777" w:rsidR="004D43AC" w:rsidRPr="004D43AC" w:rsidRDefault="004D43AC" w:rsidP="004D43AC">
      <w:pPr>
        <w:spacing w:line="276" w:lineRule="auto"/>
        <w:rPr>
          <w:rFonts w:ascii="Arial" w:hAnsi="Arial" w:cs="Arial"/>
          <w:sz w:val="4"/>
          <w:szCs w:val="4"/>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4D43AC" w:rsidRPr="002A7412" w14:paraId="7D96733C" w14:textId="77777777" w:rsidTr="00CF6E2D">
        <w:trPr>
          <w:trHeight w:val="397"/>
          <w:jc w:val="center"/>
        </w:trPr>
        <w:tc>
          <w:tcPr>
            <w:tcW w:w="10773" w:type="dxa"/>
            <w:gridSpan w:val="2"/>
            <w:tcBorders>
              <w:top w:val="nil"/>
              <w:bottom w:val="nil"/>
              <w:right w:val="nil"/>
            </w:tcBorders>
            <w:shd w:val="clear" w:color="auto" w:fill="F0EBE1"/>
            <w:vAlign w:val="center"/>
          </w:tcPr>
          <w:p w14:paraId="2458CBFD" w14:textId="77777777" w:rsidR="004D43AC" w:rsidRPr="002A7412" w:rsidRDefault="004D43AC" w:rsidP="00CF6E2D">
            <w:pPr>
              <w:spacing w:line="276" w:lineRule="auto"/>
              <w:rPr>
                <w:rFonts w:ascii="Arial" w:hAnsi="Arial" w:cs="Arial"/>
                <w:b/>
                <w:color w:val="524B48"/>
                <w:sz w:val="23"/>
                <w:szCs w:val="23"/>
              </w:rPr>
            </w:pPr>
            <w:r w:rsidRPr="005E7F0A">
              <w:rPr>
                <w:rFonts w:ascii="Arial" w:hAnsi="Arial" w:cs="Arial"/>
                <w:b/>
                <w:color w:val="524B48"/>
                <w:sz w:val="23"/>
                <w:szCs w:val="23"/>
              </w:rPr>
              <w:lastRenderedPageBreak/>
              <w:t>Some of the topics considered in this seminar will be:</w:t>
            </w:r>
          </w:p>
        </w:tc>
      </w:tr>
      <w:tr w:rsidR="004D43AC" w:rsidRPr="002A7412" w14:paraId="07A720B6" w14:textId="77777777" w:rsidTr="00CF6E2D">
        <w:trPr>
          <w:trHeight w:val="4130"/>
          <w:jc w:val="center"/>
        </w:trPr>
        <w:tc>
          <w:tcPr>
            <w:tcW w:w="9072" w:type="dxa"/>
            <w:tcBorders>
              <w:top w:val="nil"/>
              <w:bottom w:val="nil"/>
            </w:tcBorders>
            <w:shd w:val="clear" w:color="auto" w:fill="FFFFFF" w:themeFill="background1"/>
            <w:vAlign w:val="center"/>
          </w:tcPr>
          <w:p w14:paraId="0FCFCC32"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sidRPr="005E7F0A">
              <w:rPr>
                <w:rFonts w:ascii="Arial" w:hAnsi="Arial" w:cs="Arial"/>
                <w:color w:val="6C6361"/>
                <w:sz w:val="23"/>
                <w:szCs w:val="23"/>
              </w:rPr>
              <w:t>Judgment of the Court of Final Appeal in Kwok Cheuk Kin v Director of Lands [2021] HKCFA 38;</w:t>
            </w:r>
          </w:p>
          <w:p w14:paraId="31D95655"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sidRPr="005E7F0A">
              <w:rPr>
                <w:rFonts w:ascii="Arial" w:hAnsi="Arial" w:cs="Arial"/>
                <w:color w:val="6C6361"/>
                <w:sz w:val="23"/>
                <w:szCs w:val="23"/>
              </w:rPr>
              <w:t>Judgment of the Court of Appeal in Kwok Cheuk Kin v Director of Lands [2021] 1 HKLRD 737</w:t>
            </w:r>
            <w:r>
              <w:rPr>
                <w:rFonts w:ascii="Arial" w:hAnsi="Arial" w:cs="Arial"/>
                <w:color w:val="6C6361"/>
                <w:sz w:val="23"/>
                <w:szCs w:val="23"/>
              </w:rPr>
              <w:t>;</w:t>
            </w:r>
          </w:p>
          <w:p w14:paraId="79D1CF3F"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sidRPr="005E7F0A">
              <w:rPr>
                <w:rFonts w:ascii="Arial" w:hAnsi="Arial" w:cs="Arial"/>
                <w:color w:val="6C6361"/>
                <w:sz w:val="23"/>
                <w:szCs w:val="23"/>
              </w:rPr>
              <w:t>What is the Small House Policy?</w:t>
            </w:r>
          </w:p>
          <w:p w14:paraId="010891F6"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sidRPr="005E7F0A">
              <w:rPr>
                <w:rFonts w:ascii="Arial" w:hAnsi="Arial" w:cs="Arial"/>
                <w:color w:val="6C6361"/>
                <w:sz w:val="23"/>
                <w:szCs w:val="23"/>
              </w:rPr>
              <w:t>Why was it introduced?</w:t>
            </w:r>
          </w:p>
          <w:p w14:paraId="40D43766"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sidRPr="005E7F0A">
              <w:rPr>
                <w:rFonts w:ascii="Arial" w:hAnsi="Arial" w:cs="Arial"/>
                <w:color w:val="6C6361"/>
                <w:sz w:val="23"/>
                <w:szCs w:val="23"/>
              </w:rPr>
              <w:t>Is it a privilege or a right?</w:t>
            </w:r>
          </w:p>
          <w:p w14:paraId="285E2444"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sidRPr="005E7F0A">
              <w:rPr>
                <w:rFonts w:ascii="Arial" w:hAnsi="Arial" w:cs="Arial"/>
                <w:color w:val="6C6361"/>
                <w:sz w:val="23"/>
                <w:szCs w:val="23"/>
              </w:rPr>
              <w:t>Chinese custom in the New Territories</w:t>
            </w:r>
            <w:r>
              <w:rPr>
                <w:rFonts w:ascii="Arial" w:hAnsi="Arial" w:cs="Arial"/>
                <w:color w:val="6C6361"/>
                <w:sz w:val="23"/>
                <w:szCs w:val="23"/>
              </w:rPr>
              <w:t>;</w:t>
            </w:r>
          </w:p>
          <w:p w14:paraId="3EA20C56"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Pr>
                <w:rFonts w:ascii="Arial" w:hAnsi="Arial" w:cs="Arial"/>
                <w:color w:val="6C6361"/>
                <w:sz w:val="23"/>
                <w:szCs w:val="23"/>
              </w:rPr>
              <w:t>The development of the Policy;</w:t>
            </w:r>
          </w:p>
          <w:p w14:paraId="69C00B98"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sidRPr="005E7F0A">
              <w:rPr>
                <w:rFonts w:ascii="Arial" w:hAnsi="Arial" w:cs="Arial"/>
                <w:color w:val="6C6361"/>
                <w:sz w:val="23"/>
                <w:szCs w:val="23"/>
              </w:rPr>
              <w:t>Use and abuse of the Policy;</w:t>
            </w:r>
          </w:p>
          <w:p w14:paraId="0789A395"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sidRPr="005E7F0A">
              <w:rPr>
                <w:rFonts w:ascii="Arial" w:hAnsi="Arial" w:cs="Arial"/>
                <w:color w:val="6C6361"/>
                <w:sz w:val="23"/>
                <w:szCs w:val="23"/>
              </w:rPr>
              <w:t>The impact of the Basic law;</w:t>
            </w:r>
          </w:p>
          <w:p w14:paraId="46554B0B"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sidRPr="005E7F0A">
              <w:rPr>
                <w:rFonts w:ascii="Arial" w:hAnsi="Arial" w:cs="Arial"/>
                <w:color w:val="6C6361"/>
                <w:sz w:val="23"/>
                <w:szCs w:val="23"/>
              </w:rPr>
              <w:t>The protection of traditional and customary r</w:t>
            </w:r>
            <w:r>
              <w:rPr>
                <w:rFonts w:ascii="Arial" w:hAnsi="Arial" w:cs="Arial"/>
                <w:color w:val="6C6361"/>
                <w:sz w:val="23"/>
                <w:szCs w:val="23"/>
              </w:rPr>
              <w:t>ights which are discriminatory;</w:t>
            </w:r>
          </w:p>
          <w:p w14:paraId="512CBC83" w14:textId="77777777" w:rsidR="004D43AC" w:rsidRPr="005E7F0A" w:rsidRDefault="004D43AC" w:rsidP="00CF6E2D">
            <w:pPr>
              <w:pStyle w:val="ListParagraph"/>
              <w:numPr>
                <w:ilvl w:val="0"/>
                <w:numId w:val="1"/>
              </w:numPr>
              <w:spacing w:line="276" w:lineRule="auto"/>
              <w:ind w:right="-108"/>
              <w:jc w:val="left"/>
              <w:rPr>
                <w:rFonts w:ascii="Arial" w:hAnsi="Arial" w:cs="Arial"/>
                <w:color w:val="6C6361"/>
                <w:sz w:val="23"/>
                <w:szCs w:val="23"/>
              </w:rPr>
            </w:pPr>
            <w:r w:rsidRPr="005E7F0A">
              <w:rPr>
                <w:rFonts w:ascii="Arial" w:hAnsi="Arial" w:cs="Arial"/>
                <w:color w:val="6C6361"/>
                <w:sz w:val="23"/>
                <w:szCs w:val="23"/>
              </w:rPr>
              <w:t>The future of the Policy.</w:t>
            </w:r>
          </w:p>
        </w:tc>
        <w:tc>
          <w:tcPr>
            <w:tcW w:w="1701" w:type="dxa"/>
            <w:tcBorders>
              <w:top w:val="nil"/>
              <w:bottom w:val="nil"/>
              <w:right w:val="nil"/>
            </w:tcBorders>
            <w:shd w:val="clear" w:color="auto" w:fill="FFFFFF" w:themeFill="background1"/>
            <w:vAlign w:val="center"/>
          </w:tcPr>
          <w:p w14:paraId="3C48CD6C" w14:textId="77777777" w:rsidR="004D43AC" w:rsidRDefault="004D43AC" w:rsidP="00CF6E2D">
            <w:pPr>
              <w:spacing w:line="276" w:lineRule="auto"/>
              <w:jc w:val="center"/>
              <w:rPr>
                <w:rFonts w:ascii="Arial" w:hAnsi="Arial" w:cs="Arial"/>
                <w:color w:val="6C6361"/>
                <w:sz w:val="23"/>
                <w:szCs w:val="23"/>
              </w:rPr>
            </w:pPr>
          </w:p>
          <w:p w14:paraId="4FFD8E49" w14:textId="77777777" w:rsidR="004D43AC" w:rsidRDefault="004D43AC" w:rsidP="00CF6E2D">
            <w:pPr>
              <w:spacing w:line="276" w:lineRule="auto"/>
              <w:jc w:val="center"/>
              <w:rPr>
                <w:rFonts w:ascii="Arial" w:hAnsi="Arial" w:cs="Arial"/>
                <w:color w:val="6C6361"/>
                <w:sz w:val="23"/>
                <w:szCs w:val="23"/>
              </w:rPr>
            </w:pPr>
          </w:p>
          <w:p w14:paraId="4D486F7E" w14:textId="77777777" w:rsidR="004D43AC" w:rsidRDefault="004D43AC" w:rsidP="00CF6E2D">
            <w:pPr>
              <w:spacing w:line="276" w:lineRule="auto"/>
              <w:jc w:val="center"/>
              <w:rPr>
                <w:rFonts w:ascii="Arial" w:hAnsi="Arial" w:cs="Arial"/>
                <w:color w:val="6C6361"/>
                <w:sz w:val="23"/>
                <w:szCs w:val="23"/>
              </w:rPr>
            </w:pPr>
          </w:p>
          <w:p w14:paraId="6EEA20F8" w14:textId="77777777" w:rsidR="004D43AC" w:rsidRDefault="004D43AC" w:rsidP="00CF6E2D">
            <w:pPr>
              <w:spacing w:line="276" w:lineRule="auto"/>
              <w:jc w:val="center"/>
              <w:rPr>
                <w:rFonts w:ascii="Arial" w:hAnsi="Arial" w:cs="Arial"/>
                <w:color w:val="6C6361"/>
                <w:sz w:val="23"/>
                <w:szCs w:val="23"/>
              </w:rPr>
            </w:pPr>
          </w:p>
          <w:p w14:paraId="26FFAF06" w14:textId="77777777" w:rsidR="004D43AC" w:rsidRDefault="004D43AC" w:rsidP="00CF6E2D">
            <w:pPr>
              <w:spacing w:line="276" w:lineRule="auto"/>
              <w:jc w:val="center"/>
              <w:rPr>
                <w:rFonts w:ascii="Arial" w:hAnsi="Arial" w:cs="Arial"/>
                <w:color w:val="6C6361"/>
                <w:sz w:val="23"/>
                <w:szCs w:val="23"/>
              </w:rPr>
            </w:pPr>
          </w:p>
          <w:p w14:paraId="39EA466E" w14:textId="77777777" w:rsidR="004D43AC" w:rsidRDefault="004D43AC" w:rsidP="00CF6E2D">
            <w:pPr>
              <w:spacing w:line="276" w:lineRule="auto"/>
              <w:jc w:val="center"/>
              <w:rPr>
                <w:rFonts w:ascii="Arial" w:hAnsi="Arial" w:cs="Arial"/>
                <w:color w:val="6C6361"/>
                <w:sz w:val="23"/>
                <w:szCs w:val="23"/>
              </w:rPr>
            </w:pPr>
          </w:p>
          <w:p w14:paraId="6B9CCE36" w14:textId="77777777" w:rsidR="004D43AC" w:rsidRPr="002A7412" w:rsidRDefault="004D43AC" w:rsidP="00CF6E2D">
            <w:pPr>
              <w:spacing w:line="276" w:lineRule="auto"/>
              <w:jc w:val="center"/>
              <w:rPr>
                <w:rFonts w:ascii="Arial" w:hAnsi="Arial" w:cs="Arial"/>
                <w:color w:val="6C6361"/>
                <w:sz w:val="23"/>
                <w:szCs w:val="23"/>
              </w:rPr>
            </w:pPr>
          </w:p>
          <w:p w14:paraId="799FEF2A" w14:textId="77777777" w:rsidR="004D43AC" w:rsidRPr="002A7412" w:rsidRDefault="004D43AC" w:rsidP="00CF6E2D">
            <w:pPr>
              <w:spacing w:line="276" w:lineRule="auto"/>
              <w:jc w:val="center"/>
              <w:rPr>
                <w:rFonts w:ascii="Arial" w:hAnsi="Arial" w:cs="Arial"/>
                <w:color w:val="6C6361"/>
                <w:sz w:val="23"/>
                <w:szCs w:val="23"/>
              </w:rPr>
            </w:pPr>
            <w:r w:rsidRPr="002A7412">
              <w:rPr>
                <w:rFonts w:ascii="Arial" w:hAnsi="Arial" w:cs="Arial"/>
                <w:noProof/>
                <w:color w:val="6C6361"/>
                <w:sz w:val="23"/>
                <w:szCs w:val="23"/>
              </w:rPr>
              <w:drawing>
                <wp:inline distT="0" distB="0" distL="0" distR="0" wp14:anchorId="76B0401D" wp14:editId="62988D59">
                  <wp:extent cx="893417" cy="10223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3417" cy="1022396"/>
                          </a:xfrm>
                          <a:prstGeom prst="rect">
                            <a:avLst/>
                          </a:prstGeom>
                          <a:noFill/>
                          <a:ln>
                            <a:noFill/>
                          </a:ln>
                        </pic:spPr>
                      </pic:pic>
                    </a:graphicData>
                  </a:graphic>
                </wp:inline>
              </w:drawing>
            </w:r>
          </w:p>
        </w:tc>
      </w:tr>
    </w:tbl>
    <w:p w14:paraId="7706A150" w14:textId="77777777" w:rsidR="004D43AC" w:rsidRPr="004D43AC" w:rsidRDefault="004D43AC" w:rsidP="00F373A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4D43AC" w:rsidRPr="00B90951" w14:paraId="1E7443B0" w14:textId="77777777" w:rsidTr="00F373AA">
        <w:trPr>
          <w:trHeight w:val="284"/>
          <w:jc w:val="center"/>
        </w:trPr>
        <w:tc>
          <w:tcPr>
            <w:tcW w:w="1701" w:type="dxa"/>
            <w:tcBorders>
              <w:top w:val="nil"/>
              <w:left w:val="nil"/>
              <w:bottom w:val="single" w:sz="12" w:space="0" w:color="FFFFFF"/>
            </w:tcBorders>
            <w:shd w:val="clear" w:color="auto" w:fill="F0EBE1"/>
            <w:vAlign w:val="center"/>
          </w:tcPr>
          <w:p w14:paraId="4B25C1D1" w14:textId="259AAFBB"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4F51C653"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EVT000000359</w:t>
            </w:r>
          </w:p>
        </w:tc>
        <w:tc>
          <w:tcPr>
            <w:tcW w:w="1701" w:type="dxa"/>
            <w:tcBorders>
              <w:top w:val="nil"/>
              <w:bottom w:val="single" w:sz="12" w:space="0" w:color="FFFFFF"/>
            </w:tcBorders>
            <w:shd w:val="clear" w:color="auto" w:fill="F0EBE1"/>
            <w:vAlign w:val="center"/>
          </w:tcPr>
          <w:p w14:paraId="6720FFBA" w14:textId="151C3721"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00AADCB1"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D43AC" w:rsidRPr="00B90951" w14:paraId="0DFFF51F"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6D55749A" w14:textId="1698F5D1"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7C1BA932" w:rsidR="004D43AC" w:rsidRPr="00682661"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 February 2022 (Monday)</w:t>
            </w:r>
          </w:p>
        </w:tc>
        <w:tc>
          <w:tcPr>
            <w:tcW w:w="1701" w:type="dxa"/>
            <w:tcBorders>
              <w:top w:val="single" w:sz="12" w:space="0" w:color="FFFFFF"/>
              <w:bottom w:val="single" w:sz="12" w:space="0" w:color="FFFFFF"/>
            </w:tcBorders>
            <w:shd w:val="clear" w:color="auto" w:fill="F0EBE1"/>
            <w:vAlign w:val="center"/>
          </w:tcPr>
          <w:p w14:paraId="21E97AFE" w14:textId="6DF19F2B"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2AADEDE1"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D43AC" w:rsidRPr="00B90951" w14:paraId="28027E09"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2F6B4CC7" w14:textId="2160E9D9"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48C9B32E" w14:textId="77777777"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7CEBD86E"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2E4EFE2E" w:rsidR="004D43AC" w:rsidRPr="00320F79"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0EE93EBD" w:rsidR="004D43AC" w:rsidRPr="00682661" w:rsidRDefault="004D43AC" w:rsidP="004D4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F373AA" w:rsidRPr="00B90951" w14:paraId="44834AD8" w14:textId="77777777" w:rsidTr="00F373AA">
        <w:trPr>
          <w:trHeight w:val="284"/>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633F4" w14:textId="77777777" w:rsidR="00A36998" w:rsidRDefault="00A36998" w:rsidP="00546556">
      <w:r>
        <w:separator/>
      </w:r>
    </w:p>
  </w:endnote>
  <w:endnote w:type="continuationSeparator" w:id="0">
    <w:p w14:paraId="6E154291" w14:textId="77777777" w:rsidR="00A36998" w:rsidRDefault="00A3699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12EF1" w14:textId="77777777" w:rsidR="00A36998" w:rsidRDefault="00A36998" w:rsidP="00546556">
      <w:r>
        <w:separator/>
      </w:r>
    </w:p>
  </w:footnote>
  <w:footnote w:type="continuationSeparator" w:id="0">
    <w:p w14:paraId="44E3EC60" w14:textId="77777777" w:rsidR="00A36998" w:rsidRDefault="00A36998"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3"/>
  <w:displayBackgroundShape/>
  <w:gutterAtTop/>
  <w:documentProtection w:edit="forms" w:enforcement="1" w:cryptProviderType="rsaAES" w:cryptAlgorithmClass="hash" w:cryptAlgorithmType="typeAny" w:cryptAlgorithmSid="14" w:cryptSpinCount="100000" w:hash="EkpS2olxEeSUjTz3bDK1ZAaCHAgcFxLxf2+30MgPx7gnZWjjgHoDqQRYwvRmhqW/jh4k+ZFEfy43yh9faNgemA==" w:salt="41gUcu5iWN2lvr2cIl9hm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0641"/>
    <w:rsid w:val="0028105F"/>
    <w:rsid w:val="0028108F"/>
    <w:rsid w:val="0028368E"/>
    <w:rsid w:val="00283E45"/>
    <w:rsid w:val="002856AD"/>
    <w:rsid w:val="002862AB"/>
    <w:rsid w:val="00287094"/>
    <w:rsid w:val="00287E60"/>
    <w:rsid w:val="0029020E"/>
    <w:rsid w:val="002902F9"/>
    <w:rsid w:val="00290900"/>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3AC"/>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C0D"/>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5F8A"/>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28E1"/>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6998"/>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A7E03"/>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358/" TargetMode="External"/><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359/"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599</Words>
  <Characters>2994</Characters>
  <Application>Microsoft Office Word</Application>
  <DocSecurity>0</DocSecurity>
  <Lines>110</Lines>
  <Paragraphs>69</Paragraphs>
  <ScaleCrop>false</ScaleCrop>
  <HeadingPairs>
    <vt:vector size="2" baseType="variant">
      <vt:variant>
        <vt:lpstr>Title</vt:lpstr>
      </vt:variant>
      <vt:variant>
        <vt:i4>1</vt:i4>
      </vt:variant>
    </vt:vector>
  </HeadingPairs>
  <TitlesOfParts>
    <vt:vector size="1" baseType="lpstr">
      <vt:lpstr>CPD Course: Property Law in the Domestic Consumer Context: Cohabitation, Trusts and Companies</vt:lpstr>
    </vt:vector>
  </TitlesOfParts>
  <Manager>Tyrone Tsang</Manager>
  <Company>The Profectional Company Limited</Company>
  <LinksUpToDate>false</LinksUpToDate>
  <CharactersWithSpaces>3524</CharactersWithSpaces>
  <SharedDoc>false</SharedDoc>
  <HyperlinkBase>http://download.profectional.com/events/EVT000000359.docx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Update - The Small House Policy After the Judgment of the Court of Final Appeal in Kwok Cheuk Kin v Director of Lands [2021] HKCFA 38</dc:title>
  <dc:subject>CPD Course: Update - The Small House Policy After the Judgment of the Court of Final Appeal in Kwok Cheuk Kin v Director of Lands [2021] HKCFA 38</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Microsoft Office User</cp:lastModifiedBy>
  <cp:revision>59</cp:revision>
  <cp:lastPrinted>2020-09-23T08:22:00Z</cp:lastPrinted>
  <dcterms:created xsi:type="dcterms:W3CDTF">2017-01-12T02:41:00Z</dcterms:created>
  <dcterms:modified xsi:type="dcterms:W3CDTF">2022-02-14T06:41:00Z</dcterms:modified>
  <cp:category/>
</cp:coreProperties>
</file>