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6FD0A" w14:textId="77777777" w:rsidR="00F36451" w:rsidRPr="00F36451" w:rsidRDefault="00F36451" w:rsidP="00F36451">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F36451" w:rsidRPr="00523A64" w14:paraId="00AE5C25" w14:textId="77777777" w:rsidTr="003D7556">
        <w:trPr>
          <w:trHeight w:val="3119"/>
          <w:jc w:val="center"/>
        </w:trPr>
        <w:tc>
          <w:tcPr>
            <w:tcW w:w="4797" w:type="dxa"/>
            <w:shd w:val="clear" w:color="auto" w:fill="FFFFFF"/>
            <w:vAlign w:val="center"/>
          </w:tcPr>
          <w:p w14:paraId="1F8612F8" w14:textId="77777777" w:rsidR="00F36451" w:rsidRPr="001A3018" w:rsidRDefault="00F36451" w:rsidP="003D7556">
            <w:pPr>
              <w:jc w:val="center"/>
              <w:rPr>
                <w:rFonts w:ascii="Arial" w:hAnsi="Arial" w:cs="Arial"/>
                <w:b/>
                <w:bCs/>
                <w:color w:val="524B48"/>
                <w:sz w:val="4"/>
                <w:szCs w:val="4"/>
              </w:rPr>
            </w:pPr>
          </w:p>
          <w:p w14:paraId="75927F9E" w14:textId="77777777" w:rsidR="00F36451" w:rsidRDefault="00F36451" w:rsidP="003D7556">
            <w:pPr>
              <w:jc w:val="center"/>
              <w:rPr>
                <w:rStyle w:val="Hyperlink"/>
                <w:rFonts w:ascii="Arial" w:hAnsi="Arial" w:cs="Arial"/>
                <w:b/>
                <w:bCs/>
                <w:color w:val="524B48"/>
                <w:sz w:val="32"/>
                <w:szCs w:val="32"/>
                <w:u w:val="none"/>
              </w:rPr>
            </w:pPr>
            <w:r w:rsidRPr="00CF685C">
              <w:fldChar w:fldCharType="begin"/>
            </w:r>
            <w:r>
              <w:instrText>HYPERLINK "http://cpd.hk/evt000000365/"</w:instrText>
            </w:r>
            <w:r w:rsidRPr="00CF685C">
              <w:fldChar w:fldCharType="separate"/>
            </w:r>
            <w:r>
              <w:rPr>
                <w:rStyle w:val="Hyperlink"/>
                <w:rFonts w:ascii="Arial" w:hAnsi="Arial" w:cs="Arial"/>
                <w:b/>
                <w:bCs/>
                <w:color w:val="524B48"/>
                <w:sz w:val="32"/>
                <w:szCs w:val="32"/>
                <w:u w:val="none"/>
              </w:rPr>
              <w:t>Equitable Doctrines,</w:t>
            </w:r>
          </w:p>
          <w:p w14:paraId="1036D433" w14:textId="77777777" w:rsidR="00F36451" w:rsidRDefault="00F36451" w:rsidP="003D7556">
            <w:pPr>
              <w:jc w:val="center"/>
              <w:rPr>
                <w:rStyle w:val="Hyperlink"/>
                <w:rFonts w:ascii="Arial" w:hAnsi="Arial" w:cs="Arial"/>
                <w:b/>
                <w:bCs/>
                <w:color w:val="524B48"/>
                <w:sz w:val="32"/>
                <w:szCs w:val="32"/>
                <w:u w:val="none"/>
              </w:rPr>
            </w:pPr>
            <w:proofErr w:type="spellStart"/>
            <w:r>
              <w:rPr>
                <w:rStyle w:val="Hyperlink"/>
                <w:rFonts w:ascii="Arial" w:hAnsi="Arial" w:cs="Arial"/>
                <w:b/>
                <w:bCs/>
                <w:color w:val="524B48"/>
                <w:sz w:val="32"/>
                <w:szCs w:val="32"/>
                <w:u w:val="none"/>
              </w:rPr>
              <w:t>Defences</w:t>
            </w:r>
            <w:proofErr w:type="spellEnd"/>
            <w:r>
              <w:rPr>
                <w:rStyle w:val="Hyperlink"/>
                <w:rFonts w:ascii="Arial" w:hAnsi="Arial" w:cs="Arial"/>
                <w:b/>
                <w:bCs/>
                <w:color w:val="524B48"/>
                <w:sz w:val="32"/>
                <w:szCs w:val="32"/>
                <w:u w:val="none"/>
              </w:rPr>
              <w:t xml:space="preserve"> and Remedies</w:t>
            </w:r>
          </w:p>
          <w:p w14:paraId="22776F7D" w14:textId="77777777" w:rsidR="00F36451" w:rsidRPr="00C65AFD" w:rsidRDefault="00F36451" w:rsidP="003D7556">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14:paraId="5AFCC269" w14:textId="77777777" w:rsidR="00F36451" w:rsidRPr="00C65AFD" w:rsidRDefault="00F36451" w:rsidP="003D7556">
            <w:pPr>
              <w:jc w:val="center"/>
              <w:rPr>
                <w:rFonts w:ascii="Arial" w:hAnsi="Arial" w:cs="Arial"/>
                <w:i/>
                <w:color w:val="6C6361"/>
                <w:sz w:val="24"/>
                <w:szCs w:val="24"/>
              </w:rPr>
            </w:pPr>
            <w:r w:rsidRPr="00C65AFD">
              <w:rPr>
                <w:rFonts w:ascii="Arial" w:hAnsi="Arial" w:cs="Arial"/>
                <w:i/>
                <w:color w:val="6C6361"/>
                <w:sz w:val="24"/>
                <w:szCs w:val="24"/>
              </w:rPr>
              <w:t>by</w:t>
            </w:r>
          </w:p>
          <w:p w14:paraId="2DBB123C" w14:textId="77777777" w:rsidR="00F36451" w:rsidRDefault="00F36451" w:rsidP="003D7556">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14:paraId="7CB74456" w14:textId="77777777" w:rsidR="00F36451" w:rsidRDefault="00F36451" w:rsidP="003D7556">
            <w:pPr>
              <w:jc w:val="center"/>
              <w:rPr>
                <w:rFonts w:ascii="Arial" w:hAnsi="Arial" w:cs="Arial"/>
                <w:color w:val="6C6361"/>
                <w:sz w:val="24"/>
                <w:szCs w:val="24"/>
              </w:rPr>
            </w:pPr>
            <w:r>
              <w:rPr>
                <w:rFonts w:ascii="Arial" w:hAnsi="Arial" w:cs="Arial"/>
                <w:color w:val="6C6361"/>
                <w:sz w:val="24"/>
                <w:szCs w:val="24"/>
              </w:rPr>
              <w:t>Professor of Practice in Law,</w:t>
            </w:r>
          </w:p>
          <w:p w14:paraId="1DC58E75" w14:textId="77777777" w:rsidR="00F36451" w:rsidRDefault="00F36451" w:rsidP="003D7556">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14:paraId="3EF6D1AE" w14:textId="77777777" w:rsidR="00F36451" w:rsidRDefault="00F36451" w:rsidP="003D7556">
            <w:pPr>
              <w:jc w:val="center"/>
              <w:rPr>
                <w:rFonts w:ascii="Arial" w:hAnsi="Arial" w:cs="Arial"/>
                <w:color w:val="6C6361"/>
                <w:sz w:val="24"/>
                <w:szCs w:val="24"/>
              </w:rPr>
            </w:pPr>
            <w:r>
              <w:rPr>
                <w:rFonts w:ascii="Arial" w:hAnsi="Arial" w:cs="Arial"/>
                <w:color w:val="6C6361"/>
                <w:sz w:val="24"/>
                <w:szCs w:val="24"/>
              </w:rPr>
              <w:t>The Faculty of Law,</w:t>
            </w:r>
          </w:p>
          <w:p w14:paraId="1DD6DC60" w14:textId="77777777" w:rsidR="00F36451" w:rsidRPr="007E02E6" w:rsidRDefault="00F36451" w:rsidP="003D7556">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14:paraId="56D11262" w14:textId="77777777" w:rsidR="00F36451" w:rsidRPr="00D87ECF" w:rsidRDefault="00F36451" w:rsidP="003D7556">
            <w:pPr>
              <w:jc w:val="center"/>
              <w:rPr>
                <w:rFonts w:ascii="Arial" w:hAnsi="Arial" w:cs="Arial"/>
                <w:color w:val="6C6361"/>
                <w:sz w:val="8"/>
                <w:szCs w:val="8"/>
              </w:rPr>
            </w:pPr>
          </w:p>
        </w:tc>
        <w:tc>
          <w:tcPr>
            <w:tcW w:w="5976" w:type="dxa"/>
            <w:shd w:val="clear" w:color="auto" w:fill="FFFFFF"/>
            <w:vAlign w:val="center"/>
          </w:tcPr>
          <w:p w14:paraId="2DBB2CB1" w14:textId="77777777" w:rsidR="00F36451" w:rsidRPr="00D50772" w:rsidRDefault="00F36451" w:rsidP="003D7556">
            <w:pPr>
              <w:spacing w:line="276" w:lineRule="auto"/>
              <w:rPr>
                <w:rFonts w:ascii="Arial" w:eastAsia="Times New Roman" w:hAnsi="Arial" w:cs="Arial"/>
                <w:noProof/>
                <w:sz w:val="20"/>
                <w:szCs w:val="20"/>
              </w:rPr>
            </w:pPr>
            <w:r w:rsidRPr="00DA14CA">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6433E657" wp14:editId="36188334">
                  <wp:simplePos x="0" y="0"/>
                  <wp:positionH relativeFrom="column">
                    <wp:posOffset>3175000</wp:posOffset>
                  </wp:positionH>
                  <wp:positionV relativeFrom="paragraph">
                    <wp:posOffset>-55245</wp:posOffset>
                  </wp:positionV>
                  <wp:extent cx="539750" cy="539750"/>
                  <wp:effectExtent l="0" t="0" r="6350" b="6350"/>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656E356F" wp14:editId="5004D178">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3C11A2C0" w14:textId="77777777" w:rsidR="00F36451" w:rsidRPr="002E50F1" w:rsidRDefault="00F36451" w:rsidP="00F36451">
      <w:pPr>
        <w:spacing w:line="276" w:lineRule="auto"/>
        <w:jc w:val="left"/>
        <w:rPr>
          <w:rFonts w:ascii="Arial" w:hAnsi="Arial" w:cs="Arial"/>
          <w:sz w:val="16"/>
          <w:szCs w:val="15"/>
        </w:rPr>
      </w:pPr>
    </w:p>
    <w:tbl>
      <w:tblPr>
        <w:tblW w:w="10773" w:type="dxa"/>
        <w:jc w:val="center"/>
        <w:tblLook w:val="04A0" w:firstRow="1" w:lastRow="0" w:firstColumn="1" w:lastColumn="0" w:noHBand="0" w:noVBand="1"/>
      </w:tblPr>
      <w:tblGrid>
        <w:gridCol w:w="1985"/>
        <w:gridCol w:w="8788"/>
      </w:tblGrid>
      <w:tr w:rsidR="00F36451" w:rsidRPr="000F3FFC" w14:paraId="4DF7D04D" w14:textId="77777777" w:rsidTr="003D7556">
        <w:trPr>
          <w:trHeight w:val="2515"/>
          <w:jc w:val="center"/>
        </w:trPr>
        <w:tc>
          <w:tcPr>
            <w:tcW w:w="1985" w:type="dxa"/>
            <w:shd w:val="clear" w:color="auto" w:fill="FFFFFF"/>
            <w:vAlign w:val="center"/>
          </w:tcPr>
          <w:p w14:paraId="0B9D7925" w14:textId="77777777" w:rsidR="00F36451" w:rsidRPr="000F3FFC" w:rsidRDefault="00F36451" w:rsidP="003D7556">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63E4C2E1" wp14:editId="5A152D38">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333D33C5" w14:textId="77777777" w:rsidR="00F36451" w:rsidRPr="001900E2" w:rsidRDefault="00F36451" w:rsidP="003D7556">
            <w:pPr>
              <w:rPr>
                <w:rFonts w:ascii="Arial" w:hAnsi="Arial" w:cs="Arial"/>
                <w:color w:val="6C6361"/>
                <w:sz w:val="21"/>
                <w:szCs w:val="21"/>
              </w:rPr>
            </w:pPr>
            <w:r w:rsidRPr="00227800">
              <w:rPr>
                <w:rFonts w:ascii="Arial" w:hAnsi="Arial" w:cs="Arial"/>
                <w:color w:val="6C6361"/>
                <w:sz w:val="24"/>
                <w:szCs w:val="21"/>
              </w:rPr>
              <w:t xml:space="preserve">Steven Gallagher was awarded a </w:t>
            </w:r>
            <w:proofErr w:type="gramStart"/>
            <w:r w:rsidRPr="00227800">
              <w:rPr>
                <w:rFonts w:ascii="Arial" w:hAnsi="Arial" w:cs="Arial"/>
                <w:color w:val="6C6361"/>
                <w:sz w:val="24"/>
                <w:szCs w:val="21"/>
              </w:rPr>
              <w:t>first class</w:t>
            </w:r>
            <w:proofErr w:type="gramEnd"/>
            <w:r w:rsidRPr="00227800">
              <w:rPr>
                <w:rFonts w:ascii="Arial" w:hAnsi="Arial" w:cs="Arial"/>
                <w:color w:val="6C6361"/>
                <w:sz w:val="24"/>
                <w:szCs w:val="21"/>
              </w:rPr>
              <w:t xml:space="preserve"> LL.B.  He was called to the Bar of England and Wales in 2006.  Steven teaches the equity and trusts courses for undergraduate and postgraduate students.  Steven also teaches a course on art, antiquities, cultural heritage and the law on the LLM </w:t>
            </w:r>
            <w:proofErr w:type="spellStart"/>
            <w:r w:rsidRPr="00227800">
              <w:rPr>
                <w:rFonts w:ascii="Arial" w:hAnsi="Arial" w:cs="Arial"/>
                <w:color w:val="6C6361"/>
                <w:sz w:val="24"/>
                <w:szCs w:val="21"/>
              </w:rPr>
              <w:t>programme</w:t>
            </w:r>
            <w:proofErr w:type="spellEnd"/>
            <w:r w:rsidRPr="00227800">
              <w:rPr>
                <w:rFonts w:ascii="Arial" w:hAnsi="Arial" w:cs="Arial"/>
                <w:color w:val="6C6361"/>
                <w:sz w:val="24"/>
                <w:szCs w:val="21"/>
              </w:rPr>
              <w:t>.  Steven has presented continuing professional development courses for solicitors in Hong Kong on many topics associated with equity.  Steven’s research interests include equity and the law of trusts, cultural heritage law</w:t>
            </w:r>
            <w:r>
              <w:rPr>
                <w:rFonts w:ascii="Arial" w:hAnsi="Arial" w:cs="Arial"/>
                <w:color w:val="6C6361"/>
                <w:sz w:val="24"/>
                <w:szCs w:val="21"/>
              </w:rPr>
              <w:t>,</w:t>
            </w:r>
            <w:r w:rsidRPr="00227800">
              <w:rPr>
                <w:rFonts w:ascii="Arial" w:hAnsi="Arial" w:cs="Arial"/>
                <w:color w:val="6C6361"/>
                <w:sz w:val="24"/>
                <w:szCs w:val="21"/>
              </w:rPr>
              <w:t xml:space="preserve"> </w:t>
            </w:r>
            <w:r>
              <w:rPr>
                <w:rFonts w:ascii="Arial" w:hAnsi="Arial" w:cs="Arial"/>
                <w:color w:val="6C6361"/>
                <w:sz w:val="24"/>
                <w:szCs w:val="21"/>
              </w:rPr>
              <w:t>legal history and law and technology.</w:t>
            </w:r>
          </w:p>
        </w:tc>
      </w:tr>
    </w:tbl>
    <w:p w14:paraId="36FEFB9B" w14:textId="77777777" w:rsidR="00F36451" w:rsidRPr="003F04BB" w:rsidRDefault="00F36451" w:rsidP="00F36451">
      <w:pPr>
        <w:spacing w:line="276" w:lineRule="auto"/>
        <w:jc w:val="left"/>
        <w:rPr>
          <w:rFonts w:ascii="Arial" w:hAnsi="Arial" w:cs="Arial"/>
          <w:sz w:val="16"/>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F36451" w:rsidRPr="003F04BB" w14:paraId="02CD8FD2" w14:textId="77777777" w:rsidTr="003D7556">
        <w:trPr>
          <w:trHeight w:val="1439"/>
          <w:jc w:val="center"/>
        </w:trPr>
        <w:tc>
          <w:tcPr>
            <w:tcW w:w="10773" w:type="dxa"/>
            <w:gridSpan w:val="2"/>
            <w:tcBorders>
              <w:top w:val="nil"/>
              <w:bottom w:val="nil"/>
            </w:tcBorders>
            <w:shd w:val="clear" w:color="auto" w:fill="FFFFFF" w:themeFill="background1"/>
            <w:vAlign w:val="center"/>
          </w:tcPr>
          <w:p w14:paraId="6F0736C8" w14:textId="77777777" w:rsidR="00F36451" w:rsidRPr="003F04BB" w:rsidRDefault="00F36451" w:rsidP="003D7556">
            <w:pPr>
              <w:spacing w:line="276" w:lineRule="auto"/>
              <w:rPr>
                <w:rFonts w:ascii="Arial" w:hAnsi="Arial" w:cs="Arial"/>
                <w:color w:val="6C6361"/>
                <w:sz w:val="20"/>
                <w:szCs w:val="19"/>
              </w:rPr>
            </w:pPr>
            <w:r w:rsidRPr="003F04BB">
              <w:rPr>
                <w:rFonts w:ascii="Arial" w:hAnsi="Arial" w:cs="Arial"/>
                <w:color w:val="6C6361"/>
                <w:sz w:val="20"/>
                <w:szCs w:val="19"/>
              </w:rPr>
              <w:t xml:space="preserve">This 3-hour seminar will provide an introduction to the doctrines, </w:t>
            </w:r>
            <w:proofErr w:type="spellStart"/>
            <w:r w:rsidRPr="003F04BB">
              <w:rPr>
                <w:rFonts w:ascii="Arial" w:hAnsi="Arial" w:cs="Arial"/>
                <w:color w:val="6C6361"/>
                <w:sz w:val="20"/>
                <w:szCs w:val="19"/>
              </w:rPr>
              <w:t>defences</w:t>
            </w:r>
            <w:proofErr w:type="spellEnd"/>
            <w:r w:rsidRPr="003F04BB">
              <w:rPr>
                <w:rFonts w:ascii="Arial" w:hAnsi="Arial" w:cs="Arial"/>
                <w:color w:val="6C6361"/>
                <w:sz w:val="20"/>
                <w:szCs w:val="19"/>
              </w:rPr>
              <w:t xml:space="preserve"> and remedies that have been developed in equity to deal with deficiencies in the common law.  The seminar will consider the purpose of equity within the common law, the guiding principles of equity and the development of equitable doctrines such as undue influence and proprietary estoppel.  The limits of equitable relief will be considered with reference to equity’s darling and other </w:t>
            </w:r>
            <w:proofErr w:type="spellStart"/>
            <w:r w:rsidRPr="003F04BB">
              <w:rPr>
                <w:rFonts w:ascii="Arial" w:hAnsi="Arial" w:cs="Arial"/>
                <w:color w:val="6C6361"/>
                <w:sz w:val="20"/>
                <w:szCs w:val="19"/>
              </w:rPr>
              <w:t>defences</w:t>
            </w:r>
            <w:proofErr w:type="spellEnd"/>
            <w:r w:rsidRPr="003F04BB">
              <w:rPr>
                <w:rFonts w:ascii="Arial" w:hAnsi="Arial" w:cs="Arial"/>
                <w:color w:val="6C6361"/>
                <w:sz w:val="20"/>
                <w:szCs w:val="19"/>
              </w:rPr>
              <w:t xml:space="preserve"> in equity.  The seminar will conclude with consideration of the development of equitable remedies.</w:t>
            </w:r>
          </w:p>
        </w:tc>
      </w:tr>
      <w:tr w:rsidR="00F36451" w:rsidRPr="003F04BB" w14:paraId="2DEC69C3" w14:textId="77777777" w:rsidTr="003D7556">
        <w:trPr>
          <w:trHeight w:val="340"/>
          <w:jc w:val="center"/>
        </w:trPr>
        <w:tc>
          <w:tcPr>
            <w:tcW w:w="10773" w:type="dxa"/>
            <w:gridSpan w:val="2"/>
            <w:tcBorders>
              <w:top w:val="nil"/>
              <w:bottom w:val="nil"/>
              <w:right w:val="nil"/>
            </w:tcBorders>
            <w:shd w:val="clear" w:color="auto" w:fill="F0EBE1"/>
            <w:vAlign w:val="center"/>
          </w:tcPr>
          <w:p w14:paraId="231313D4" w14:textId="77777777" w:rsidR="00F36451" w:rsidRPr="003F04BB" w:rsidRDefault="00F36451" w:rsidP="003D7556">
            <w:pPr>
              <w:spacing w:line="276" w:lineRule="auto"/>
              <w:rPr>
                <w:rFonts w:ascii="Arial" w:hAnsi="Arial" w:cs="Arial"/>
                <w:b/>
                <w:color w:val="524B48"/>
                <w:sz w:val="20"/>
                <w:szCs w:val="19"/>
              </w:rPr>
            </w:pPr>
            <w:r w:rsidRPr="003F04BB">
              <w:rPr>
                <w:rFonts w:ascii="Arial" w:hAnsi="Arial" w:cs="Arial"/>
                <w:b/>
                <w:color w:val="524B48"/>
                <w:sz w:val="20"/>
                <w:szCs w:val="19"/>
              </w:rPr>
              <w:t>Some of the topics considered in this seminar will be:</w:t>
            </w:r>
          </w:p>
        </w:tc>
      </w:tr>
      <w:tr w:rsidR="00F36451" w:rsidRPr="003F04BB" w14:paraId="3B59197F" w14:textId="77777777" w:rsidTr="003D7556">
        <w:trPr>
          <w:trHeight w:val="3018"/>
          <w:jc w:val="center"/>
        </w:trPr>
        <w:tc>
          <w:tcPr>
            <w:tcW w:w="9072" w:type="dxa"/>
            <w:tcBorders>
              <w:top w:val="nil"/>
              <w:bottom w:val="nil"/>
              <w:right w:val="nil"/>
            </w:tcBorders>
            <w:shd w:val="clear" w:color="auto" w:fill="FFFFFF" w:themeFill="background1"/>
            <w:vAlign w:val="center"/>
          </w:tcPr>
          <w:p w14:paraId="61A21BBB" w14:textId="77777777" w:rsidR="00F36451" w:rsidRPr="003F04BB" w:rsidRDefault="00F36451" w:rsidP="003D7556">
            <w:pPr>
              <w:pStyle w:val="ListParagraph"/>
              <w:numPr>
                <w:ilvl w:val="0"/>
                <w:numId w:val="1"/>
              </w:numPr>
              <w:spacing w:line="276" w:lineRule="auto"/>
              <w:rPr>
                <w:rFonts w:ascii="Arial" w:hAnsi="Arial" w:cs="Arial"/>
                <w:color w:val="6C6361"/>
                <w:sz w:val="20"/>
                <w:szCs w:val="19"/>
              </w:rPr>
            </w:pPr>
            <w:r w:rsidRPr="003F04BB">
              <w:rPr>
                <w:rFonts w:ascii="Arial" w:hAnsi="Arial" w:cs="Arial"/>
                <w:color w:val="6C6361"/>
                <w:sz w:val="20"/>
                <w:szCs w:val="19"/>
              </w:rPr>
              <w:t>The Maxims of Equity</w:t>
            </w:r>
          </w:p>
          <w:p w14:paraId="230EB020" w14:textId="77777777" w:rsidR="00F36451" w:rsidRPr="003F04BB" w:rsidRDefault="00F36451" w:rsidP="003D7556">
            <w:pPr>
              <w:pStyle w:val="ListParagraph"/>
              <w:numPr>
                <w:ilvl w:val="0"/>
                <w:numId w:val="1"/>
              </w:numPr>
              <w:spacing w:line="276" w:lineRule="auto"/>
              <w:rPr>
                <w:rFonts w:ascii="Arial" w:hAnsi="Arial" w:cs="Arial"/>
                <w:color w:val="6C6361"/>
                <w:sz w:val="20"/>
                <w:szCs w:val="19"/>
              </w:rPr>
            </w:pPr>
            <w:r w:rsidRPr="003F04BB">
              <w:rPr>
                <w:rFonts w:ascii="Arial" w:hAnsi="Arial" w:cs="Arial"/>
                <w:color w:val="6C6361"/>
                <w:sz w:val="20"/>
                <w:szCs w:val="19"/>
              </w:rPr>
              <w:t>General principles of when equity may be available</w:t>
            </w:r>
          </w:p>
          <w:p w14:paraId="05877147" w14:textId="77777777" w:rsidR="00F36451" w:rsidRPr="003F04BB" w:rsidRDefault="00F36451" w:rsidP="003D7556">
            <w:pPr>
              <w:pStyle w:val="ListParagraph"/>
              <w:numPr>
                <w:ilvl w:val="0"/>
                <w:numId w:val="1"/>
              </w:numPr>
              <w:spacing w:line="276" w:lineRule="auto"/>
              <w:rPr>
                <w:rFonts w:ascii="Arial" w:hAnsi="Arial" w:cs="Arial"/>
                <w:color w:val="6C6361"/>
                <w:sz w:val="20"/>
                <w:szCs w:val="19"/>
              </w:rPr>
            </w:pPr>
            <w:r w:rsidRPr="003F04BB">
              <w:rPr>
                <w:rFonts w:ascii="Arial" w:hAnsi="Arial" w:cs="Arial"/>
                <w:color w:val="6C6361"/>
                <w:sz w:val="20"/>
                <w:szCs w:val="19"/>
              </w:rPr>
              <w:t>Guiding principles in awarding remedies</w:t>
            </w:r>
          </w:p>
          <w:p w14:paraId="3811665E" w14:textId="77777777" w:rsidR="00F36451" w:rsidRPr="003F04BB" w:rsidRDefault="00F36451" w:rsidP="003D7556">
            <w:pPr>
              <w:pStyle w:val="ListParagraph"/>
              <w:numPr>
                <w:ilvl w:val="0"/>
                <w:numId w:val="1"/>
              </w:numPr>
              <w:spacing w:line="276" w:lineRule="auto"/>
              <w:rPr>
                <w:rFonts w:ascii="Arial" w:hAnsi="Arial" w:cs="Arial"/>
                <w:color w:val="6C6361"/>
                <w:sz w:val="20"/>
                <w:szCs w:val="19"/>
              </w:rPr>
            </w:pPr>
            <w:r w:rsidRPr="003F04BB">
              <w:rPr>
                <w:rFonts w:ascii="Arial" w:hAnsi="Arial" w:cs="Arial"/>
                <w:color w:val="6C6361"/>
                <w:sz w:val="20"/>
                <w:szCs w:val="19"/>
              </w:rPr>
              <w:t xml:space="preserve">The Traditional Doctrines of Equity </w:t>
            </w:r>
          </w:p>
          <w:p w14:paraId="0E90F91F" w14:textId="77777777" w:rsidR="00F36451" w:rsidRPr="003F04BB" w:rsidRDefault="00F36451" w:rsidP="003D7556">
            <w:pPr>
              <w:pStyle w:val="ListParagraph"/>
              <w:numPr>
                <w:ilvl w:val="0"/>
                <w:numId w:val="1"/>
              </w:numPr>
              <w:spacing w:line="276" w:lineRule="auto"/>
              <w:rPr>
                <w:rFonts w:ascii="Arial" w:hAnsi="Arial" w:cs="Arial"/>
                <w:color w:val="6C6361"/>
                <w:sz w:val="20"/>
                <w:szCs w:val="19"/>
              </w:rPr>
            </w:pPr>
            <w:r w:rsidRPr="003F04BB">
              <w:rPr>
                <w:rFonts w:ascii="Arial" w:hAnsi="Arial" w:cs="Arial"/>
                <w:color w:val="6C6361"/>
                <w:sz w:val="20"/>
                <w:szCs w:val="19"/>
              </w:rPr>
              <w:t>Undue Influence</w:t>
            </w:r>
          </w:p>
          <w:p w14:paraId="6AB1CCFC" w14:textId="77777777" w:rsidR="00F36451" w:rsidRPr="003F04BB" w:rsidRDefault="00F36451" w:rsidP="003D7556">
            <w:pPr>
              <w:pStyle w:val="ListParagraph"/>
              <w:numPr>
                <w:ilvl w:val="0"/>
                <w:numId w:val="1"/>
              </w:numPr>
              <w:spacing w:line="276" w:lineRule="auto"/>
              <w:rPr>
                <w:rFonts w:ascii="Arial" w:hAnsi="Arial" w:cs="Arial"/>
                <w:color w:val="6C6361"/>
                <w:sz w:val="20"/>
                <w:szCs w:val="19"/>
              </w:rPr>
            </w:pPr>
            <w:r w:rsidRPr="003F04BB">
              <w:rPr>
                <w:rFonts w:ascii="Arial" w:hAnsi="Arial" w:cs="Arial"/>
                <w:color w:val="6C6361"/>
                <w:sz w:val="20"/>
                <w:szCs w:val="19"/>
              </w:rPr>
              <w:t>Developments of Estoppel in Equity</w:t>
            </w:r>
          </w:p>
          <w:p w14:paraId="4211DEA0" w14:textId="77777777" w:rsidR="00F36451" w:rsidRPr="003F04BB" w:rsidRDefault="00F36451" w:rsidP="003D7556">
            <w:pPr>
              <w:pStyle w:val="ListParagraph"/>
              <w:numPr>
                <w:ilvl w:val="0"/>
                <w:numId w:val="1"/>
              </w:numPr>
              <w:spacing w:line="276" w:lineRule="auto"/>
              <w:rPr>
                <w:rFonts w:ascii="Arial" w:hAnsi="Arial" w:cs="Arial"/>
                <w:color w:val="6C6361"/>
                <w:sz w:val="20"/>
                <w:szCs w:val="19"/>
              </w:rPr>
            </w:pPr>
            <w:proofErr w:type="spellStart"/>
            <w:r w:rsidRPr="003F04BB">
              <w:rPr>
                <w:rFonts w:ascii="Arial" w:hAnsi="Arial" w:cs="Arial"/>
                <w:color w:val="6C6361"/>
                <w:sz w:val="20"/>
                <w:szCs w:val="19"/>
              </w:rPr>
              <w:t>Defences</w:t>
            </w:r>
            <w:proofErr w:type="spellEnd"/>
            <w:r w:rsidRPr="003F04BB">
              <w:rPr>
                <w:rFonts w:ascii="Arial" w:hAnsi="Arial" w:cs="Arial"/>
                <w:color w:val="6C6361"/>
                <w:sz w:val="20"/>
                <w:szCs w:val="19"/>
              </w:rPr>
              <w:t xml:space="preserve"> Available in Equity</w:t>
            </w:r>
          </w:p>
          <w:p w14:paraId="42967C5D" w14:textId="77777777" w:rsidR="00F36451" w:rsidRPr="003F04BB" w:rsidRDefault="00F36451" w:rsidP="003D7556">
            <w:pPr>
              <w:pStyle w:val="ListParagraph"/>
              <w:numPr>
                <w:ilvl w:val="0"/>
                <w:numId w:val="1"/>
              </w:numPr>
              <w:spacing w:line="276" w:lineRule="auto"/>
              <w:rPr>
                <w:rFonts w:ascii="Arial" w:hAnsi="Arial" w:cs="Arial"/>
                <w:color w:val="6C6361"/>
                <w:sz w:val="20"/>
                <w:szCs w:val="19"/>
              </w:rPr>
            </w:pPr>
            <w:r w:rsidRPr="003F04BB">
              <w:rPr>
                <w:rFonts w:ascii="Arial" w:hAnsi="Arial" w:cs="Arial"/>
                <w:color w:val="6C6361"/>
                <w:sz w:val="20"/>
                <w:szCs w:val="19"/>
              </w:rPr>
              <w:t>Equitable Remedies</w:t>
            </w:r>
          </w:p>
          <w:p w14:paraId="222DC644" w14:textId="77777777" w:rsidR="00F36451" w:rsidRPr="003F04BB" w:rsidRDefault="00F36451" w:rsidP="003D7556">
            <w:pPr>
              <w:pStyle w:val="ListParagraph"/>
              <w:numPr>
                <w:ilvl w:val="0"/>
                <w:numId w:val="1"/>
              </w:numPr>
              <w:spacing w:line="276" w:lineRule="auto"/>
              <w:rPr>
                <w:rFonts w:ascii="Arial" w:hAnsi="Arial" w:cs="Arial"/>
                <w:color w:val="6C6361"/>
                <w:sz w:val="20"/>
                <w:szCs w:val="19"/>
              </w:rPr>
            </w:pPr>
            <w:r w:rsidRPr="003F04BB">
              <w:rPr>
                <w:rFonts w:ascii="Arial" w:hAnsi="Arial" w:cs="Arial"/>
                <w:color w:val="6C6361"/>
                <w:sz w:val="20"/>
                <w:szCs w:val="19"/>
              </w:rPr>
              <w:t>Account and equitable compensation</w:t>
            </w:r>
          </w:p>
          <w:p w14:paraId="511BE74F" w14:textId="77777777" w:rsidR="00F36451" w:rsidRPr="003F04BB" w:rsidRDefault="00F36451" w:rsidP="003D7556">
            <w:pPr>
              <w:pStyle w:val="ListParagraph"/>
              <w:numPr>
                <w:ilvl w:val="0"/>
                <w:numId w:val="1"/>
              </w:numPr>
              <w:spacing w:line="276" w:lineRule="auto"/>
              <w:rPr>
                <w:rFonts w:ascii="Arial" w:hAnsi="Arial" w:cs="Arial"/>
                <w:color w:val="6C6361"/>
                <w:sz w:val="20"/>
                <w:szCs w:val="19"/>
              </w:rPr>
            </w:pPr>
            <w:r w:rsidRPr="003F04BB">
              <w:rPr>
                <w:rFonts w:ascii="Arial" w:hAnsi="Arial" w:cs="Arial"/>
                <w:color w:val="6C6361"/>
                <w:sz w:val="20"/>
                <w:szCs w:val="19"/>
              </w:rPr>
              <w:t>Injunction</w:t>
            </w:r>
          </w:p>
          <w:p w14:paraId="36859BEA" w14:textId="77777777" w:rsidR="00F36451" w:rsidRPr="003F04BB" w:rsidRDefault="00F36451" w:rsidP="003D7556">
            <w:pPr>
              <w:pStyle w:val="ListParagraph"/>
              <w:numPr>
                <w:ilvl w:val="0"/>
                <w:numId w:val="1"/>
              </w:numPr>
              <w:spacing w:line="276" w:lineRule="auto"/>
              <w:rPr>
                <w:rFonts w:ascii="Arial" w:hAnsi="Arial" w:cs="Arial"/>
                <w:color w:val="6C6361"/>
                <w:sz w:val="20"/>
                <w:szCs w:val="19"/>
              </w:rPr>
            </w:pPr>
            <w:r w:rsidRPr="003F04BB">
              <w:rPr>
                <w:rFonts w:ascii="Arial" w:hAnsi="Arial" w:cs="Arial"/>
                <w:color w:val="6C6361"/>
                <w:sz w:val="20"/>
                <w:szCs w:val="19"/>
              </w:rPr>
              <w:t>Specific Performance</w:t>
            </w:r>
          </w:p>
        </w:tc>
        <w:tc>
          <w:tcPr>
            <w:tcW w:w="1701" w:type="dxa"/>
            <w:tcBorders>
              <w:top w:val="nil"/>
              <w:left w:val="nil"/>
              <w:bottom w:val="nil"/>
            </w:tcBorders>
            <w:shd w:val="clear" w:color="auto" w:fill="FFFFFF" w:themeFill="background1"/>
            <w:vAlign w:val="center"/>
          </w:tcPr>
          <w:p w14:paraId="3EBB2E29" w14:textId="77777777" w:rsidR="00F36451" w:rsidRPr="003F04BB" w:rsidRDefault="00F36451" w:rsidP="003D7556">
            <w:pPr>
              <w:spacing w:line="276" w:lineRule="auto"/>
              <w:jc w:val="center"/>
              <w:rPr>
                <w:rFonts w:ascii="Arial" w:hAnsi="Arial" w:cs="Arial"/>
                <w:color w:val="6C6361"/>
                <w:sz w:val="20"/>
                <w:szCs w:val="19"/>
              </w:rPr>
            </w:pPr>
          </w:p>
          <w:p w14:paraId="2DE69FAE" w14:textId="77777777" w:rsidR="00F36451" w:rsidRPr="003F04BB" w:rsidRDefault="00F36451" w:rsidP="003D7556">
            <w:pPr>
              <w:spacing w:line="276" w:lineRule="auto"/>
              <w:jc w:val="center"/>
              <w:rPr>
                <w:rFonts w:ascii="Arial" w:hAnsi="Arial" w:cs="Arial"/>
                <w:color w:val="6C6361"/>
                <w:sz w:val="20"/>
                <w:szCs w:val="19"/>
              </w:rPr>
            </w:pPr>
          </w:p>
          <w:p w14:paraId="0388A650" w14:textId="77777777" w:rsidR="00F36451" w:rsidRPr="003F04BB" w:rsidRDefault="00F36451" w:rsidP="003D7556">
            <w:pPr>
              <w:spacing w:line="276" w:lineRule="auto"/>
              <w:jc w:val="center"/>
              <w:rPr>
                <w:rFonts w:ascii="Arial" w:hAnsi="Arial" w:cs="Arial"/>
                <w:color w:val="6C6361"/>
                <w:sz w:val="20"/>
                <w:szCs w:val="19"/>
              </w:rPr>
            </w:pPr>
          </w:p>
          <w:p w14:paraId="2C610535" w14:textId="77777777" w:rsidR="00F36451" w:rsidRPr="003F04BB" w:rsidRDefault="00F36451" w:rsidP="003D7556">
            <w:pPr>
              <w:spacing w:line="276" w:lineRule="auto"/>
              <w:jc w:val="center"/>
              <w:rPr>
                <w:rFonts w:ascii="Arial" w:hAnsi="Arial" w:cs="Arial"/>
                <w:color w:val="6C6361"/>
                <w:sz w:val="20"/>
                <w:szCs w:val="19"/>
              </w:rPr>
            </w:pPr>
          </w:p>
          <w:p w14:paraId="21119A4C" w14:textId="77777777" w:rsidR="00F36451" w:rsidRPr="003F04BB" w:rsidRDefault="00F36451" w:rsidP="003D7556">
            <w:pPr>
              <w:spacing w:line="276" w:lineRule="auto"/>
              <w:jc w:val="center"/>
              <w:rPr>
                <w:rFonts w:ascii="Arial" w:hAnsi="Arial" w:cs="Arial"/>
                <w:color w:val="6C6361"/>
                <w:sz w:val="20"/>
                <w:szCs w:val="19"/>
              </w:rPr>
            </w:pPr>
            <w:r w:rsidRPr="003F04BB">
              <w:rPr>
                <w:rFonts w:ascii="Arial" w:hAnsi="Arial" w:cs="Arial"/>
                <w:noProof/>
                <w:color w:val="6C6361"/>
                <w:sz w:val="20"/>
                <w:szCs w:val="19"/>
              </w:rPr>
              <w:drawing>
                <wp:inline distT="0" distB="0" distL="0" distR="0" wp14:anchorId="7974A45E" wp14:editId="0AD2A0FD">
                  <wp:extent cx="890274" cy="101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0274" cy="1018800"/>
                          </a:xfrm>
                          <a:prstGeom prst="rect">
                            <a:avLst/>
                          </a:prstGeom>
                          <a:noFill/>
                          <a:ln>
                            <a:noFill/>
                          </a:ln>
                        </pic:spPr>
                      </pic:pic>
                    </a:graphicData>
                  </a:graphic>
                </wp:inline>
              </w:drawing>
            </w:r>
          </w:p>
        </w:tc>
      </w:tr>
    </w:tbl>
    <w:p w14:paraId="54F69CB7" w14:textId="77777777" w:rsidR="00F36451" w:rsidRPr="00F36451" w:rsidRDefault="00F36451" w:rsidP="00680C81">
      <w:pPr>
        <w:spacing w:line="276" w:lineRule="auto"/>
        <w:rPr>
          <w:rFonts w:ascii="Arial" w:hAnsi="Arial" w:cs="Arial"/>
          <w:sz w:val="16"/>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70"/>
        <w:gridCol w:w="1315"/>
      </w:tblGrid>
      <w:tr w:rsidR="00F36451" w:rsidRPr="00320F79" w14:paraId="70218F98" w14:textId="77777777" w:rsidTr="00961D9A">
        <w:trPr>
          <w:trHeight w:val="340"/>
          <w:jc w:val="center"/>
        </w:trPr>
        <w:tc>
          <w:tcPr>
            <w:tcW w:w="1701" w:type="dxa"/>
            <w:tcBorders>
              <w:top w:val="nil"/>
              <w:left w:val="nil"/>
              <w:bottom w:val="single" w:sz="12" w:space="0" w:color="FFFFFF"/>
            </w:tcBorders>
            <w:shd w:val="clear" w:color="auto" w:fill="F0EBE1"/>
            <w:vAlign w:val="center"/>
          </w:tcPr>
          <w:p w14:paraId="133B66D0" w14:textId="77777777" w:rsidR="00F36451" w:rsidRPr="00320F79" w:rsidRDefault="00F36451" w:rsidP="00F36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68E3E23F" w14:textId="1E97F092" w:rsidR="00F36451" w:rsidRPr="00320F79" w:rsidRDefault="00F36451" w:rsidP="00F36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EVT000000365</w:t>
            </w:r>
          </w:p>
        </w:tc>
        <w:tc>
          <w:tcPr>
            <w:tcW w:w="1701" w:type="dxa"/>
            <w:tcBorders>
              <w:top w:val="nil"/>
              <w:bottom w:val="single" w:sz="12" w:space="0" w:color="FFFFFF"/>
            </w:tcBorders>
            <w:shd w:val="clear" w:color="auto" w:fill="F0EBE1"/>
            <w:vAlign w:val="center"/>
          </w:tcPr>
          <w:p w14:paraId="096B7CEE" w14:textId="77777777" w:rsidR="00F36451" w:rsidRPr="00320F79" w:rsidRDefault="00F36451" w:rsidP="00F36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7BA47B77" w14:textId="77777777" w:rsidR="00F36451" w:rsidRPr="00320F79" w:rsidRDefault="00F36451" w:rsidP="00F36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F36451" w:rsidRPr="00320F79" w14:paraId="22E8551B" w14:textId="77777777" w:rsidTr="00961D9A">
        <w:trPr>
          <w:trHeight w:val="340"/>
          <w:jc w:val="center"/>
        </w:trPr>
        <w:tc>
          <w:tcPr>
            <w:tcW w:w="1701" w:type="dxa"/>
            <w:tcBorders>
              <w:top w:val="single" w:sz="12" w:space="0" w:color="FFFFFF"/>
              <w:left w:val="nil"/>
              <w:bottom w:val="single" w:sz="12" w:space="0" w:color="FFFFFF"/>
            </w:tcBorders>
            <w:shd w:val="clear" w:color="auto" w:fill="F0EBE1"/>
            <w:vAlign w:val="center"/>
          </w:tcPr>
          <w:p w14:paraId="528EB4BA" w14:textId="77777777" w:rsidR="00F36451" w:rsidRPr="00320F79" w:rsidRDefault="00F36451" w:rsidP="00F36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47B81CCF" w14:textId="5CA4D0C9" w:rsidR="00F36451" w:rsidRPr="00320F79" w:rsidRDefault="00F36451" w:rsidP="00F36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8 July 2022 (Friday)</w:t>
            </w:r>
          </w:p>
        </w:tc>
        <w:tc>
          <w:tcPr>
            <w:tcW w:w="1701" w:type="dxa"/>
            <w:tcBorders>
              <w:top w:val="single" w:sz="12" w:space="0" w:color="FFFFFF"/>
              <w:bottom w:val="single" w:sz="12" w:space="0" w:color="FFFFFF"/>
            </w:tcBorders>
            <w:shd w:val="clear" w:color="auto" w:fill="F0EBE1"/>
            <w:vAlign w:val="center"/>
          </w:tcPr>
          <w:p w14:paraId="7D3617D9" w14:textId="77777777" w:rsidR="00F36451" w:rsidRPr="00320F79" w:rsidRDefault="00F36451" w:rsidP="00F36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1F3DDA31" w14:textId="77777777" w:rsidR="00F36451" w:rsidRPr="00320F79" w:rsidRDefault="00F36451" w:rsidP="00F36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F36451" w:rsidRPr="00320F79" w14:paraId="21DEEAC7" w14:textId="77777777" w:rsidTr="00961D9A">
        <w:trPr>
          <w:trHeight w:val="340"/>
          <w:jc w:val="center"/>
        </w:trPr>
        <w:tc>
          <w:tcPr>
            <w:tcW w:w="1701" w:type="dxa"/>
            <w:tcBorders>
              <w:top w:val="single" w:sz="12" w:space="0" w:color="FFFFFF"/>
              <w:left w:val="nil"/>
              <w:bottom w:val="single" w:sz="12" w:space="0" w:color="FFFFFF"/>
            </w:tcBorders>
            <w:shd w:val="clear" w:color="auto" w:fill="F0EBE1"/>
            <w:vAlign w:val="center"/>
          </w:tcPr>
          <w:p w14:paraId="4615B557" w14:textId="77777777" w:rsidR="00F36451" w:rsidRPr="00320F79" w:rsidRDefault="00F36451" w:rsidP="00F36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75C20F64" w14:textId="77777777" w:rsidR="00F36451" w:rsidRPr="00320F79" w:rsidRDefault="00F36451" w:rsidP="00F36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p>
          <w:p w14:paraId="62E68677" w14:textId="30D575C0" w:rsidR="00F36451" w:rsidRPr="00320F79" w:rsidRDefault="00F36451" w:rsidP="00F36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40C16E01" w14:textId="77777777" w:rsidR="00F36451" w:rsidRPr="00320F79" w:rsidRDefault="00F36451" w:rsidP="00F36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13F4654D" w14:textId="2FCDBFA4" w:rsidR="00F36451" w:rsidRPr="00F36451" w:rsidRDefault="00F36451" w:rsidP="00F36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3.0 CPD Points</w:t>
            </w:r>
          </w:p>
        </w:tc>
      </w:tr>
      <w:tr w:rsidR="00680C81" w:rsidRPr="00320F79" w14:paraId="4EA8E747" w14:textId="77777777" w:rsidTr="00961D9A">
        <w:trPr>
          <w:trHeight w:val="1247"/>
          <w:jc w:val="center"/>
        </w:trPr>
        <w:tc>
          <w:tcPr>
            <w:tcW w:w="1701" w:type="dxa"/>
            <w:tcBorders>
              <w:top w:val="single" w:sz="12" w:space="0" w:color="FFFFFF"/>
              <w:left w:val="nil"/>
              <w:bottom w:val="nil"/>
            </w:tcBorders>
            <w:shd w:val="clear" w:color="auto" w:fill="F0EBE1"/>
            <w:vAlign w:val="center"/>
          </w:tcPr>
          <w:p w14:paraId="7FE1A9C8" w14:textId="77777777" w:rsidR="00680C81" w:rsidRPr="00320F79"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32864720" w14:textId="77777777" w:rsidR="00F36451" w:rsidRDefault="00F36451" w:rsidP="00F36451">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64637435" w14:textId="77777777" w:rsidR="00F36451" w:rsidRPr="002D6743" w:rsidRDefault="00F36451" w:rsidP="00F36451">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566E106F" w14:textId="77777777" w:rsidR="00F36451" w:rsidRPr="00B90951" w:rsidRDefault="00F36451" w:rsidP="00F36451">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577963D7" w14:textId="77777777" w:rsidR="00F36451" w:rsidRPr="00B90951" w:rsidRDefault="00F36451" w:rsidP="00F36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66F81010" w14:textId="77777777" w:rsidR="00F36451" w:rsidRPr="00B90951" w:rsidRDefault="00F36451" w:rsidP="00F36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59725B34" w14:textId="558D114D" w:rsidR="00680C81" w:rsidRPr="00320F79" w:rsidRDefault="00F36451" w:rsidP="00F36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14:paraId="1321B9A7" w14:textId="77777777" w:rsidR="00680C81" w:rsidRDefault="00680C81" w:rsidP="00961D9A">
            <w:pPr>
              <w:jc w:val="right"/>
              <w:rPr>
                <w:rFonts w:ascii="Arial" w:hAnsi="Arial" w:cs="Arial"/>
                <w:b/>
                <w:color w:val="6C6361"/>
                <w:sz w:val="20"/>
                <w:szCs w:val="20"/>
              </w:rPr>
            </w:pPr>
          </w:p>
          <w:p w14:paraId="0FDBF464" w14:textId="77777777" w:rsidR="00680C81" w:rsidRDefault="00680C81" w:rsidP="00961D9A">
            <w:pPr>
              <w:jc w:val="right"/>
              <w:rPr>
                <w:rFonts w:ascii="Arial" w:hAnsi="Arial" w:cs="Arial"/>
                <w:b/>
                <w:color w:val="6C6361"/>
                <w:sz w:val="20"/>
                <w:szCs w:val="20"/>
              </w:rPr>
            </w:pPr>
          </w:p>
          <w:p w14:paraId="043B6710" w14:textId="77777777" w:rsidR="00680C81" w:rsidRPr="00320F79" w:rsidRDefault="00680C81" w:rsidP="00961D9A">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148AEEDC" wp14:editId="30FA3302">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75ED9645" w14:textId="77777777" w:rsidR="00680C81" w:rsidRPr="00E2201B" w:rsidRDefault="00680C81" w:rsidP="00961D9A">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14:paraId="36AABD84" w14:textId="77777777" w:rsidR="00680C81" w:rsidRPr="003A2A41"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4F3552E2" w14:textId="77777777" w:rsidR="00680C81" w:rsidRPr="003A2A41"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14:paraId="4BB99173" w14:textId="77777777" w:rsidR="00680C81" w:rsidRPr="003A2A41"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290DD174" w14:textId="77777777" w:rsidR="00680C81" w:rsidRPr="003A2A41"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14:paraId="12291F78" w14:textId="77777777" w:rsidR="00680C81" w:rsidRPr="00156567"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09839957" wp14:editId="189E4845">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40BD80D6" w14:textId="77777777" w:rsidR="00214BC6" w:rsidRPr="00680C81" w:rsidRDefault="00214BC6" w:rsidP="00680C81">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66C46" w14:textId="77777777" w:rsidR="001A0361" w:rsidRDefault="001A0361" w:rsidP="00546556">
      <w:r>
        <w:separator/>
      </w:r>
    </w:p>
  </w:endnote>
  <w:endnote w:type="continuationSeparator" w:id="0">
    <w:p w14:paraId="3E41C8A4" w14:textId="77777777" w:rsidR="001A0361" w:rsidRDefault="001A0361"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D418F"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77255676" w14:textId="77777777" w:rsidTr="00A775CE">
      <w:trPr>
        <w:trHeight w:val="1824"/>
        <w:jc w:val="center"/>
      </w:trPr>
      <w:tc>
        <w:tcPr>
          <w:tcW w:w="5954" w:type="dxa"/>
          <w:vAlign w:val="bottom"/>
        </w:tcPr>
        <w:p w14:paraId="1A590310"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194AB187" wp14:editId="61895358">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63D736CE" w14:textId="77777777" w:rsidR="00197F64" w:rsidRPr="00EA2D57" w:rsidRDefault="00197F64" w:rsidP="00197F64">
          <w:pPr>
            <w:ind w:right="33"/>
            <w:jc w:val="center"/>
            <w:rPr>
              <w:rFonts w:ascii="Arial" w:hAnsi="Arial" w:cs="Arial"/>
              <w:color w:val="E4DCCA"/>
              <w:sz w:val="16"/>
              <w:szCs w:val="16"/>
            </w:rPr>
          </w:pPr>
        </w:p>
        <w:p w14:paraId="525E6D4D"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0B941577"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4B083EB0"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1659B238"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6C4F45DC" wp14:editId="38380288">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0A16BE60"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25922CE9"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73D1BDC9"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506AAB60"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273D5652"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6E72E26D"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B0533" w14:textId="77777777" w:rsidR="001A0361" w:rsidRDefault="001A0361" w:rsidP="00546556">
      <w:r>
        <w:separator/>
      </w:r>
    </w:p>
  </w:footnote>
  <w:footnote w:type="continuationSeparator" w:id="0">
    <w:p w14:paraId="3EFC2295" w14:textId="77777777" w:rsidR="001A0361" w:rsidRDefault="001A0361"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3126E" w14:textId="77777777" w:rsidR="002C4DC0" w:rsidRDefault="00F0384F">
    <w:pPr>
      <w:pStyle w:val="Header"/>
    </w:pPr>
    <w:r>
      <w:rPr>
        <w:noProof/>
      </w:rPr>
      <w:drawing>
        <wp:anchor distT="0" distB="0" distL="114300" distR="114300" simplePos="0" relativeHeight="251659264" behindDoc="1" locked="0" layoutInCell="1" allowOverlap="1" wp14:anchorId="1F6CB9EC" wp14:editId="29255C17">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gutterAtTop/>
  <w:proofState w:spelling="clean" w:grammar="clean"/>
  <w:documentProtection w:edit="forms" w:enforcement="1" w:cryptProviderType="rsaAES" w:cryptAlgorithmClass="hash" w:cryptAlgorithmType="typeAny" w:cryptAlgorithmSid="14" w:cryptSpinCount="100000" w:hash="No+2CJ8GvFF2tB2+kJPjTUYKV6RBnWlEKWqou3YCKO77hksnvzZjEusrqUxqFWztWVsi8efteTBMVFXOduZRSQ==" w:salt="sYo1dAH1aFOhCh+QAt+p0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61"/>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5B2"/>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5FEB"/>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B5D"/>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5EEC"/>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6451"/>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4:docId w14:val="5F3ED07D"/>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65/"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197AE-1900-45EB-AD58-0D765A01E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342</Words>
  <Characters>1950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CPD Course: Equitable Doctrines, Defences and Remedies</vt:lpstr>
    </vt:vector>
  </TitlesOfParts>
  <Manager>Tyrone Tsang</Manager>
  <Company>The Profectional Company Limited</Company>
  <LinksUpToDate>false</LinksUpToDate>
  <CharactersWithSpaces>2288</CharactersWithSpaces>
  <SharedDoc>false</SharedDoc>
  <HyperlinkBase>http://download.profectional.com/events/EVT000000365.docx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Equitable Doctrines, Defences and Remedies</dc:title>
  <dc:subject>CPD Course: Equitable Doctrines, Defences and Remedies</dc:subject>
  <dc:creator>The Profectional Company Limited</dc:creator>
  <cp:keywords>Profectional; Kornerstone; CPD; CPT; CLE; CE; RME; Steven Gallagher; Professor of Practice in Law; Associate Dean (Teaching &amp; Learning);The Faculty of Law; The Chinese University of Hong Kong</cp:keywords>
  <cp:lastModifiedBy>Tyrone Tsang</cp:lastModifiedBy>
  <cp:revision>2</cp:revision>
  <cp:lastPrinted>2017-10-09T15:44:00Z</cp:lastPrinted>
  <dcterms:created xsi:type="dcterms:W3CDTF">2022-07-08T11:38:00Z</dcterms:created>
  <dcterms:modified xsi:type="dcterms:W3CDTF">2022-07-08T11:38:00Z</dcterms:modified>
</cp:coreProperties>
</file>