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AA59" w14:textId="77777777" w:rsidR="006F6FAC" w:rsidRPr="006F6FAC" w:rsidRDefault="006F6FAC" w:rsidP="006F6FAC">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6F6FAC" w:rsidRPr="00523A64" w14:paraId="029E8B5D" w14:textId="77777777" w:rsidTr="00C9305E">
        <w:trPr>
          <w:trHeight w:val="3119"/>
          <w:jc w:val="center"/>
        </w:trPr>
        <w:tc>
          <w:tcPr>
            <w:tcW w:w="4820" w:type="dxa"/>
            <w:shd w:val="clear" w:color="auto" w:fill="FFFFFF"/>
            <w:vAlign w:val="center"/>
          </w:tcPr>
          <w:p w14:paraId="7C12C1D7" w14:textId="77777777" w:rsidR="006F6FAC" w:rsidRPr="001A3018" w:rsidRDefault="006F6FAC" w:rsidP="00C9305E">
            <w:pPr>
              <w:jc w:val="center"/>
              <w:rPr>
                <w:rFonts w:ascii="Arial" w:hAnsi="Arial" w:cs="Arial"/>
                <w:b/>
                <w:bCs/>
                <w:color w:val="524B48"/>
                <w:sz w:val="4"/>
                <w:szCs w:val="4"/>
              </w:rPr>
            </w:pPr>
          </w:p>
          <w:p w14:paraId="76A34712" w14:textId="77777777" w:rsidR="006F6FAC" w:rsidRDefault="006F6FAC" w:rsidP="00C9305E">
            <w:pPr>
              <w:jc w:val="center"/>
              <w:rPr>
                <w:rStyle w:val="Hyperlink"/>
                <w:rFonts w:ascii="Arial" w:hAnsi="Arial" w:cs="Arial"/>
                <w:b/>
                <w:bCs/>
                <w:color w:val="524B48"/>
                <w:sz w:val="32"/>
                <w:szCs w:val="32"/>
                <w:u w:val="none"/>
              </w:rPr>
            </w:pPr>
            <w:r w:rsidRPr="00CF685C">
              <w:fldChar w:fldCharType="begin"/>
            </w:r>
            <w:r>
              <w:instrText>HYPERLINK "http://cpd.hk/evt000000366/"</w:instrText>
            </w:r>
            <w:r w:rsidRPr="00CF685C">
              <w:fldChar w:fldCharType="separate"/>
            </w:r>
            <w:r>
              <w:rPr>
                <w:rStyle w:val="Hyperlink"/>
                <w:rFonts w:ascii="Arial" w:hAnsi="Arial" w:cs="Arial"/>
                <w:b/>
                <w:bCs/>
                <w:color w:val="524B48"/>
                <w:sz w:val="32"/>
                <w:szCs w:val="32"/>
                <w:u w:val="none"/>
              </w:rPr>
              <w:t>Recovering</w:t>
            </w:r>
          </w:p>
          <w:p w14:paraId="70EA6204" w14:textId="77777777" w:rsidR="006F6FAC" w:rsidRDefault="006F6FAC" w:rsidP="00C930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Misappropriated Property</w:t>
            </w:r>
          </w:p>
          <w:p w14:paraId="6ABF239E" w14:textId="77777777" w:rsidR="006F6FAC" w:rsidRDefault="006F6FAC" w:rsidP="00C930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or its Proceeds:</w:t>
            </w:r>
          </w:p>
          <w:p w14:paraId="41C66174" w14:textId="77777777" w:rsidR="006F6FAC" w:rsidRDefault="006F6FAC" w:rsidP="00C930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The </w:t>
            </w:r>
            <w:proofErr w:type="gramStart"/>
            <w:r>
              <w:rPr>
                <w:rStyle w:val="Hyperlink"/>
                <w:rFonts w:ascii="Arial" w:hAnsi="Arial" w:cs="Arial"/>
                <w:b/>
                <w:bCs/>
                <w:color w:val="524B48"/>
                <w:sz w:val="32"/>
                <w:szCs w:val="32"/>
                <w:u w:val="none"/>
              </w:rPr>
              <w:t>Principles</w:t>
            </w:r>
            <w:proofErr w:type="gramEnd"/>
            <w:r>
              <w:rPr>
                <w:rStyle w:val="Hyperlink"/>
                <w:rFonts w:ascii="Arial" w:hAnsi="Arial" w:cs="Arial"/>
                <w:b/>
                <w:bCs/>
                <w:color w:val="524B48"/>
                <w:sz w:val="32"/>
                <w:szCs w:val="32"/>
                <w:u w:val="none"/>
              </w:rPr>
              <w:t xml:space="preserve"> of</w:t>
            </w:r>
          </w:p>
          <w:p w14:paraId="72957F0C" w14:textId="77777777" w:rsidR="006F6FAC" w:rsidRDefault="006F6FAC" w:rsidP="00C930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Following and Tracing,</w:t>
            </w:r>
          </w:p>
          <w:p w14:paraId="6C37DC61" w14:textId="77777777" w:rsidR="006F6FAC" w:rsidRDefault="006F6FAC" w:rsidP="00C930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Liability of</w:t>
            </w:r>
          </w:p>
          <w:p w14:paraId="360E5A2B" w14:textId="77777777" w:rsidR="006F6FAC" w:rsidRDefault="006F6FAC" w:rsidP="00C9305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Strangers to the Trust</w:t>
            </w:r>
          </w:p>
          <w:p w14:paraId="5FA5F0DF" w14:textId="77777777" w:rsidR="006F6FAC" w:rsidRPr="00C65AFD" w:rsidRDefault="006F6FAC" w:rsidP="00C9305E">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7C167F43" w14:textId="77777777" w:rsidR="006F6FAC" w:rsidRPr="00C65AFD" w:rsidRDefault="006F6FAC" w:rsidP="00C9305E">
            <w:pPr>
              <w:jc w:val="center"/>
              <w:rPr>
                <w:rFonts w:ascii="Arial" w:hAnsi="Arial" w:cs="Arial"/>
                <w:i/>
                <w:color w:val="6C6361"/>
                <w:sz w:val="24"/>
                <w:szCs w:val="24"/>
              </w:rPr>
            </w:pPr>
            <w:r w:rsidRPr="00C65AFD">
              <w:rPr>
                <w:rFonts w:ascii="Arial" w:hAnsi="Arial" w:cs="Arial"/>
                <w:i/>
                <w:color w:val="6C6361"/>
                <w:sz w:val="24"/>
                <w:szCs w:val="24"/>
              </w:rPr>
              <w:t>by</w:t>
            </w:r>
          </w:p>
          <w:p w14:paraId="061D2EE5" w14:textId="77777777" w:rsidR="006F6FAC" w:rsidRDefault="006F6FAC" w:rsidP="00C9305E">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289CBCEB" w14:textId="77777777" w:rsidR="006F6FAC" w:rsidRDefault="006F6FAC" w:rsidP="00C9305E">
            <w:pPr>
              <w:jc w:val="center"/>
              <w:rPr>
                <w:rFonts w:ascii="Arial" w:hAnsi="Arial" w:cs="Arial"/>
                <w:color w:val="6C6361"/>
                <w:sz w:val="24"/>
                <w:szCs w:val="24"/>
              </w:rPr>
            </w:pPr>
            <w:r>
              <w:rPr>
                <w:rFonts w:ascii="Arial" w:hAnsi="Arial" w:cs="Arial"/>
                <w:color w:val="6C6361"/>
                <w:sz w:val="24"/>
                <w:szCs w:val="24"/>
              </w:rPr>
              <w:t>Professor of Practice in Law,</w:t>
            </w:r>
          </w:p>
          <w:p w14:paraId="20083FEA" w14:textId="77777777" w:rsidR="006F6FAC" w:rsidRDefault="006F6FAC" w:rsidP="00C9305E">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7788C4DA" w14:textId="77777777" w:rsidR="006F6FAC" w:rsidRDefault="006F6FAC" w:rsidP="00C9305E">
            <w:pPr>
              <w:jc w:val="center"/>
              <w:rPr>
                <w:rFonts w:ascii="Arial" w:hAnsi="Arial" w:cs="Arial"/>
                <w:color w:val="6C6361"/>
                <w:sz w:val="24"/>
                <w:szCs w:val="24"/>
              </w:rPr>
            </w:pPr>
            <w:r>
              <w:rPr>
                <w:rFonts w:ascii="Arial" w:hAnsi="Arial" w:cs="Arial"/>
                <w:color w:val="6C6361"/>
                <w:sz w:val="24"/>
                <w:szCs w:val="24"/>
              </w:rPr>
              <w:t>The Faculty of Law,</w:t>
            </w:r>
          </w:p>
          <w:p w14:paraId="54F4DF06" w14:textId="77777777" w:rsidR="006F6FAC" w:rsidRDefault="006F6FAC" w:rsidP="00C9305E">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511CBE86" w14:textId="77777777" w:rsidR="006F6FAC" w:rsidRPr="00D87ECF" w:rsidRDefault="006F6FAC" w:rsidP="00C9305E">
            <w:pPr>
              <w:jc w:val="center"/>
              <w:rPr>
                <w:rFonts w:ascii="Arial" w:hAnsi="Arial" w:cs="Arial"/>
                <w:color w:val="6C6361"/>
                <w:sz w:val="8"/>
                <w:szCs w:val="8"/>
              </w:rPr>
            </w:pPr>
          </w:p>
        </w:tc>
        <w:tc>
          <w:tcPr>
            <w:tcW w:w="5954" w:type="dxa"/>
            <w:shd w:val="clear" w:color="auto" w:fill="FFFFFF"/>
            <w:vAlign w:val="center"/>
          </w:tcPr>
          <w:p w14:paraId="56C5F03F" w14:textId="77777777" w:rsidR="006F6FAC" w:rsidRPr="00D50772" w:rsidRDefault="006F6FAC" w:rsidP="00C9305E">
            <w:pPr>
              <w:spacing w:line="276" w:lineRule="auto"/>
              <w:jc w:val="center"/>
              <w:rPr>
                <w:rFonts w:ascii="Arial" w:eastAsia="Times New Roman" w:hAnsi="Arial" w:cs="Arial"/>
                <w:noProof/>
                <w:sz w:val="20"/>
                <w:szCs w:val="20"/>
              </w:rPr>
            </w:pPr>
            <w:r w:rsidRPr="00717CE0">
              <w:rPr>
                <w:rFonts w:ascii="Arial" w:eastAsia="Times New Roman" w:hAnsi="Arial" w:cs="Arial"/>
                <w:noProof/>
                <w:sz w:val="20"/>
                <w:szCs w:val="20"/>
              </w:rPr>
              <w:drawing>
                <wp:anchor distT="0" distB="0" distL="114300" distR="114300" simplePos="0" relativeHeight="251659264" behindDoc="0" locked="0" layoutInCell="1" allowOverlap="1" wp14:anchorId="7F5AC2CD" wp14:editId="57F0215E">
                  <wp:simplePos x="0" y="0"/>
                  <wp:positionH relativeFrom="column">
                    <wp:posOffset>3169285</wp:posOffset>
                  </wp:positionH>
                  <wp:positionV relativeFrom="paragraph">
                    <wp:posOffset>-537845</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23CE665" wp14:editId="655F82F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17552689" w14:textId="77777777" w:rsidR="006F6FAC" w:rsidRPr="00682661" w:rsidRDefault="006F6FAC" w:rsidP="006F6FAC">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6F6FAC" w:rsidRPr="000F3FFC" w14:paraId="6E4492C3" w14:textId="77777777" w:rsidTr="00C9305E">
        <w:trPr>
          <w:trHeight w:val="2501"/>
          <w:jc w:val="center"/>
        </w:trPr>
        <w:tc>
          <w:tcPr>
            <w:tcW w:w="1985" w:type="dxa"/>
            <w:shd w:val="clear" w:color="auto" w:fill="FFFFFF"/>
            <w:vAlign w:val="center"/>
          </w:tcPr>
          <w:p w14:paraId="38B40EA5" w14:textId="77777777" w:rsidR="006F6FAC" w:rsidRPr="000F3FFC" w:rsidRDefault="006F6FAC" w:rsidP="00C9305E">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C300224" wp14:editId="78CEF2B2">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EA2953F" w14:textId="77777777" w:rsidR="006F6FAC" w:rsidRPr="00A71228" w:rsidRDefault="006F6FAC" w:rsidP="00C9305E">
            <w:pPr>
              <w:rPr>
                <w:rFonts w:ascii="Arial" w:hAnsi="Arial" w:cs="Arial"/>
                <w:color w:val="6C6361"/>
                <w:szCs w:val="21"/>
              </w:rPr>
            </w:pPr>
            <w:r w:rsidRPr="00682661">
              <w:rPr>
                <w:rFonts w:ascii="Arial" w:hAnsi="Arial" w:cs="Arial"/>
                <w:color w:val="6C6361"/>
                <w:sz w:val="24"/>
                <w:szCs w:val="21"/>
              </w:rPr>
              <w:t xml:space="preserve">Steven Gallagher was awarded a </w:t>
            </w:r>
            <w:proofErr w:type="gramStart"/>
            <w:r w:rsidRPr="00682661">
              <w:rPr>
                <w:rFonts w:ascii="Arial" w:hAnsi="Arial" w:cs="Arial"/>
                <w:color w:val="6C6361"/>
                <w:sz w:val="24"/>
                <w:szCs w:val="21"/>
              </w:rPr>
              <w:t>first class</w:t>
            </w:r>
            <w:proofErr w:type="gramEnd"/>
            <w:r w:rsidRPr="00682661">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682661">
              <w:rPr>
                <w:rFonts w:ascii="Arial" w:hAnsi="Arial" w:cs="Arial"/>
                <w:color w:val="6C6361"/>
                <w:sz w:val="24"/>
                <w:szCs w:val="21"/>
              </w:rPr>
              <w:t>programme</w:t>
            </w:r>
            <w:proofErr w:type="spellEnd"/>
            <w:r w:rsidRPr="00682661">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w:t>
            </w:r>
            <w:r>
              <w:rPr>
                <w:rFonts w:ascii="Arial" w:hAnsi="Arial" w:cs="Arial"/>
                <w:color w:val="6C6361"/>
                <w:sz w:val="24"/>
                <w:szCs w:val="21"/>
              </w:rPr>
              <w:t xml:space="preserve">f trusts, cultural heritage law, </w:t>
            </w:r>
            <w:r w:rsidRPr="00682661">
              <w:rPr>
                <w:rFonts w:ascii="Arial" w:hAnsi="Arial" w:cs="Arial"/>
                <w:color w:val="6C6361"/>
                <w:sz w:val="24"/>
                <w:szCs w:val="21"/>
              </w:rPr>
              <w:t>lega</w:t>
            </w:r>
            <w:r>
              <w:rPr>
                <w:rFonts w:ascii="Arial" w:hAnsi="Arial" w:cs="Arial"/>
                <w:color w:val="6C6361"/>
                <w:sz w:val="24"/>
                <w:szCs w:val="21"/>
              </w:rPr>
              <w:t>l history and law and technology.</w:t>
            </w:r>
          </w:p>
        </w:tc>
      </w:tr>
    </w:tbl>
    <w:p w14:paraId="57BF2CDD" w14:textId="77777777" w:rsidR="006F6FAC" w:rsidRPr="00682661" w:rsidRDefault="006F6FAC" w:rsidP="006F6FAC">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6F6FAC" w:rsidRPr="00CB4A13" w14:paraId="695EF55F" w14:textId="77777777" w:rsidTr="00C9305E">
        <w:trPr>
          <w:trHeight w:val="5638"/>
          <w:jc w:val="center"/>
        </w:trPr>
        <w:tc>
          <w:tcPr>
            <w:tcW w:w="10773" w:type="dxa"/>
            <w:tcBorders>
              <w:top w:val="nil"/>
              <w:bottom w:val="nil"/>
            </w:tcBorders>
            <w:shd w:val="clear" w:color="auto" w:fill="FFFFFF" w:themeFill="background1"/>
            <w:vAlign w:val="center"/>
          </w:tcPr>
          <w:p w14:paraId="5C28F506" w14:textId="77777777" w:rsidR="006F6FAC" w:rsidRPr="000619F8" w:rsidRDefault="006F6FAC" w:rsidP="00C9305E">
            <w:pPr>
              <w:rPr>
                <w:rFonts w:ascii="Arial" w:hAnsi="Arial" w:cs="Arial"/>
                <w:color w:val="6C6361"/>
                <w:sz w:val="24"/>
                <w:szCs w:val="24"/>
              </w:rPr>
            </w:pPr>
            <w:r w:rsidRPr="000619F8">
              <w:rPr>
                <w:rFonts w:ascii="Arial" w:hAnsi="Arial" w:cs="Arial"/>
                <w:color w:val="6C6361"/>
                <w:sz w:val="24"/>
                <w:szCs w:val="24"/>
              </w:rPr>
              <w:t>This 3-hour seminar will examine the development of the evidential rules of tracing at common law and in equity and the potential liability of strangers to the trust or other fiduciary relationships.</w:t>
            </w:r>
          </w:p>
          <w:p w14:paraId="2A4CBFBF" w14:textId="77777777" w:rsidR="006F6FAC" w:rsidRPr="000619F8" w:rsidRDefault="006F6FAC" w:rsidP="00C9305E">
            <w:pPr>
              <w:rPr>
                <w:rFonts w:ascii="Arial" w:hAnsi="Arial" w:cs="Arial"/>
                <w:color w:val="6C6361"/>
                <w:sz w:val="12"/>
                <w:szCs w:val="24"/>
              </w:rPr>
            </w:pPr>
          </w:p>
          <w:p w14:paraId="5D64D0AF" w14:textId="77777777" w:rsidR="006F6FAC" w:rsidRPr="000619F8" w:rsidRDefault="006F6FAC" w:rsidP="00C9305E">
            <w:pPr>
              <w:rPr>
                <w:rFonts w:ascii="Arial" w:hAnsi="Arial" w:cs="Arial"/>
                <w:color w:val="6C6361"/>
                <w:sz w:val="24"/>
                <w:szCs w:val="24"/>
              </w:rPr>
            </w:pPr>
            <w:r w:rsidRPr="000619F8">
              <w:rPr>
                <w:rFonts w:ascii="Arial" w:hAnsi="Arial" w:cs="Arial"/>
                <w:color w:val="6C6361"/>
                <w:sz w:val="24"/>
                <w:szCs w:val="24"/>
              </w:rPr>
              <w:t xml:space="preserve">The seminar will consider the process of tracing at common law and in equity and developments in this area since the case of </w:t>
            </w:r>
            <w:proofErr w:type="spellStart"/>
            <w:r w:rsidRPr="000619F8">
              <w:rPr>
                <w:rFonts w:ascii="Arial" w:hAnsi="Arial" w:cs="Arial"/>
                <w:color w:val="6C6361"/>
                <w:sz w:val="24"/>
                <w:szCs w:val="24"/>
              </w:rPr>
              <w:t>Foskett</w:t>
            </w:r>
            <w:proofErr w:type="spellEnd"/>
            <w:r w:rsidRPr="000619F8">
              <w:rPr>
                <w:rFonts w:ascii="Arial" w:hAnsi="Arial" w:cs="Arial"/>
                <w:color w:val="6C6361"/>
                <w:sz w:val="24"/>
                <w:szCs w:val="24"/>
              </w:rPr>
              <w:t xml:space="preserve"> v McKeown [2001] 1 AC 102 including the debate whether tracing is a process or remedy and whether the equitable rules of tracing should be available to trace assets misappropriated without breach of a fiduciary relationship.</w:t>
            </w:r>
          </w:p>
          <w:p w14:paraId="7FA6C2A8" w14:textId="77777777" w:rsidR="006F6FAC" w:rsidRPr="000619F8" w:rsidRDefault="006F6FAC" w:rsidP="00C9305E">
            <w:pPr>
              <w:rPr>
                <w:rFonts w:ascii="Arial" w:hAnsi="Arial" w:cs="Arial"/>
                <w:color w:val="6C6361"/>
                <w:sz w:val="12"/>
                <w:szCs w:val="24"/>
              </w:rPr>
            </w:pPr>
          </w:p>
          <w:p w14:paraId="3B869540" w14:textId="77777777" w:rsidR="006F6FAC" w:rsidRPr="000619F8" w:rsidRDefault="006F6FAC" w:rsidP="00C9305E">
            <w:pPr>
              <w:rPr>
                <w:rFonts w:ascii="Arial" w:hAnsi="Arial" w:cs="Arial"/>
                <w:color w:val="6C6361"/>
                <w:sz w:val="24"/>
                <w:szCs w:val="24"/>
              </w:rPr>
            </w:pPr>
            <w:r w:rsidRPr="000619F8">
              <w:rPr>
                <w:rFonts w:ascii="Arial" w:hAnsi="Arial" w:cs="Arial"/>
                <w:color w:val="6C6361"/>
                <w:sz w:val="24"/>
                <w:szCs w:val="24"/>
              </w:rPr>
              <w:t>The consideration of tracing ends with the development of “Backwards Tracing” in The Federal Republic of Brazil and another v Durant International Corporation and another (Jersey) [2015] UKPC 35.</w:t>
            </w:r>
          </w:p>
          <w:p w14:paraId="35189995" w14:textId="77777777" w:rsidR="006F6FAC" w:rsidRPr="000619F8" w:rsidRDefault="006F6FAC" w:rsidP="00C9305E">
            <w:pPr>
              <w:rPr>
                <w:rFonts w:ascii="Arial" w:hAnsi="Arial" w:cs="Arial"/>
                <w:color w:val="6C6361"/>
                <w:sz w:val="12"/>
                <w:szCs w:val="12"/>
              </w:rPr>
            </w:pPr>
          </w:p>
          <w:p w14:paraId="0BC8C119" w14:textId="77777777" w:rsidR="006F6FAC" w:rsidRPr="000619F8" w:rsidRDefault="006F6FAC" w:rsidP="00C9305E">
            <w:pPr>
              <w:rPr>
                <w:rFonts w:ascii="Arial" w:hAnsi="Arial" w:cs="Arial"/>
                <w:color w:val="6C6361"/>
                <w:sz w:val="24"/>
                <w:szCs w:val="24"/>
              </w:rPr>
            </w:pPr>
            <w:r w:rsidRPr="000619F8">
              <w:rPr>
                <w:rFonts w:ascii="Arial" w:hAnsi="Arial" w:cs="Arial"/>
                <w:color w:val="6C6361"/>
                <w:sz w:val="24"/>
                <w:szCs w:val="24"/>
              </w:rPr>
              <w:t>The second part of the seminar will consider the potential liabilities of those who are not officially appointed as trustee but whose actions may make them liable in equity for any loss their actions may have caused the trust whether as trustee de son tort, their knowing receipt of trust property or by their assistance in a breach of trust.</w:t>
            </w:r>
          </w:p>
          <w:p w14:paraId="2FA49900" w14:textId="77777777" w:rsidR="006F6FAC" w:rsidRPr="000619F8" w:rsidRDefault="006F6FAC" w:rsidP="00C9305E">
            <w:pPr>
              <w:rPr>
                <w:rFonts w:ascii="Arial" w:hAnsi="Arial" w:cs="Arial"/>
                <w:color w:val="6C6361"/>
                <w:sz w:val="12"/>
                <w:szCs w:val="12"/>
              </w:rPr>
            </w:pPr>
          </w:p>
          <w:p w14:paraId="588E6253" w14:textId="77777777" w:rsidR="006F6FAC" w:rsidRPr="00CB4A13" w:rsidRDefault="006F6FAC" w:rsidP="00C9305E">
            <w:pPr>
              <w:rPr>
                <w:rFonts w:ascii="Arial" w:hAnsi="Arial" w:cs="Arial"/>
                <w:color w:val="6C6361"/>
                <w:sz w:val="24"/>
                <w:szCs w:val="24"/>
              </w:rPr>
            </w:pPr>
            <w:r w:rsidRPr="000619F8">
              <w:rPr>
                <w:rFonts w:ascii="Arial" w:hAnsi="Arial" w:cs="Arial"/>
                <w:color w:val="6C6361"/>
                <w:sz w:val="24"/>
                <w:szCs w:val="24"/>
              </w:rPr>
              <w:t xml:space="preserve">The seminar will consider recent developments in recipient liability and accessory liability including the test for dishonesty in dishonest assistance, and the status of dishonest assisters and those in knowing receipt as trustees after the cases of Peconic Industrial </w:t>
            </w:r>
            <w:proofErr w:type="spellStart"/>
            <w:r w:rsidRPr="000619F8">
              <w:rPr>
                <w:rFonts w:ascii="Arial" w:hAnsi="Arial" w:cs="Arial"/>
                <w:color w:val="6C6361"/>
                <w:sz w:val="24"/>
                <w:szCs w:val="24"/>
              </w:rPr>
              <w:t>Develoment</w:t>
            </w:r>
            <w:proofErr w:type="spellEnd"/>
            <w:r w:rsidRPr="000619F8">
              <w:rPr>
                <w:rFonts w:ascii="Arial" w:hAnsi="Arial" w:cs="Arial"/>
                <w:color w:val="6C6361"/>
                <w:sz w:val="24"/>
                <w:szCs w:val="24"/>
              </w:rPr>
              <w:t xml:space="preserve"> Ltd </w:t>
            </w:r>
            <w:r>
              <w:rPr>
                <w:rFonts w:ascii="Arial" w:hAnsi="Arial" w:cs="Arial"/>
                <w:color w:val="6C6361"/>
                <w:sz w:val="24"/>
                <w:szCs w:val="24"/>
              </w:rPr>
              <w:t>v</w:t>
            </w:r>
            <w:r w:rsidRPr="000619F8">
              <w:rPr>
                <w:rFonts w:ascii="Arial" w:hAnsi="Arial" w:cs="Arial"/>
                <w:color w:val="6C6361"/>
                <w:sz w:val="24"/>
                <w:szCs w:val="24"/>
              </w:rPr>
              <w:t xml:space="preserve"> Lau Kwok Fai [2009] 2 HKLRD 537 and Williams v Central Bank of Nigeria [2014] UKSC 10.</w:t>
            </w:r>
          </w:p>
        </w:tc>
      </w:tr>
    </w:tbl>
    <w:p w14:paraId="7AF83AF0" w14:textId="77777777" w:rsidR="006F6FAC" w:rsidRDefault="006F6FAC" w:rsidP="006F6FAC">
      <w:pPr>
        <w:spacing w:line="276" w:lineRule="auto"/>
        <w:rPr>
          <w:rFonts w:ascii="Arial" w:hAnsi="Arial" w:cs="Arial"/>
          <w:sz w:val="20"/>
          <w:szCs w:val="18"/>
        </w:rPr>
      </w:pPr>
    </w:p>
    <w:p w14:paraId="56A8CEAD" w14:textId="77777777" w:rsidR="006F6FAC" w:rsidRDefault="006F6FAC" w:rsidP="006F6FAC">
      <w:pPr>
        <w:spacing w:line="276" w:lineRule="auto"/>
        <w:rPr>
          <w:rFonts w:ascii="Arial" w:hAnsi="Arial" w:cs="Arial"/>
          <w:sz w:val="20"/>
          <w:szCs w:val="18"/>
        </w:rPr>
      </w:pPr>
    </w:p>
    <w:p w14:paraId="250DB08B" w14:textId="77777777" w:rsidR="006F6FAC" w:rsidRPr="00CB4A13" w:rsidRDefault="006F6FAC" w:rsidP="006F6FAC">
      <w:pPr>
        <w:spacing w:line="276" w:lineRule="auto"/>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6F6FAC" w:rsidRPr="00CB4A13" w14:paraId="78662015" w14:textId="77777777" w:rsidTr="00C9305E">
        <w:trPr>
          <w:trHeight w:val="454"/>
          <w:jc w:val="center"/>
        </w:trPr>
        <w:tc>
          <w:tcPr>
            <w:tcW w:w="10773" w:type="dxa"/>
            <w:gridSpan w:val="2"/>
            <w:tcBorders>
              <w:top w:val="nil"/>
              <w:bottom w:val="nil"/>
            </w:tcBorders>
            <w:shd w:val="clear" w:color="auto" w:fill="F0EBE1"/>
            <w:vAlign w:val="center"/>
          </w:tcPr>
          <w:p w14:paraId="193A9B57" w14:textId="77777777" w:rsidR="006F6FAC" w:rsidRPr="00CB4A13" w:rsidRDefault="006F6FAC" w:rsidP="00C9305E">
            <w:pPr>
              <w:rPr>
                <w:rFonts w:ascii="Arial" w:hAnsi="Arial" w:cs="Arial"/>
                <w:b/>
                <w:color w:val="524B48"/>
                <w:sz w:val="24"/>
                <w:szCs w:val="24"/>
              </w:rPr>
            </w:pPr>
            <w:r w:rsidRPr="00CB4A13">
              <w:rPr>
                <w:rFonts w:ascii="Arial" w:hAnsi="Arial" w:cs="Arial"/>
                <w:b/>
                <w:color w:val="524B48"/>
                <w:sz w:val="24"/>
                <w:szCs w:val="24"/>
              </w:rPr>
              <w:lastRenderedPageBreak/>
              <w:t>Some of the topics considered in this seminar will be:</w:t>
            </w:r>
          </w:p>
        </w:tc>
      </w:tr>
      <w:tr w:rsidR="006F6FAC" w:rsidRPr="00CB4A13" w14:paraId="54C75D7F" w14:textId="77777777" w:rsidTr="00C9305E">
        <w:trPr>
          <w:trHeight w:val="4499"/>
          <w:jc w:val="center"/>
        </w:trPr>
        <w:tc>
          <w:tcPr>
            <w:tcW w:w="8931" w:type="dxa"/>
            <w:tcBorders>
              <w:top w:val="nil"/>
              <w:bottom w:val="nil"/>
              <w:right w:val="nil"/>
            </w:tcBorders>
            <w:shd w:val="clear" w:color="auto" w:fill="FFFFFF"/>
            <w:vAlign w:val="center"/>
          </w:tcPr>
          <w:p w14:paraId="00E9D0C6"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processes of foll</w:t>
            </w:r>
            <w:r>
              <w:rPr>
                <w:rFonts w:ascii="Arial" w:hAnsi="Arial" w:cs="Arial"/>
                <w:color w:val="6C6361"/>
                <w:sz w:val="24"/>
                <w:szCs w:val="24"/>
              </w:rPr>
              <w:t>owing and tracing at common law;</w:t>
            </w:r>
          </w:p>
          <w:p w14:paraId="24FAFB3F"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limit</w:t>
            </w:r>
            <w:r>
              <w:rPr>
                <w:rFonts w:ascii="Arial" w:hAnsi="Arial" w:cs="Arial"/>
                <w:color w:val="6C6361"/>
                <w:sz w:val="24"/>
                <w:szCs w:val="24"/>
              </w:rPr>
              <w:t>ations of tracing at common law;</w:t>
            </w:r>
          </w:p>
          <w:p w14:paraId="4B856605"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 xml:space="preserve">The processes of </w:t>
            </w:r>
            <w:r>
              <w:rPr>
                <w:rFonts w:ascii="Arial" w:hAnsi="Arial" w:cs="Arial"/>
                <w:color w:val="6C6361"/>
                <w:sz w:val="24"/>
                <w:szCs w:val="24"/>
              </w:rPr>
              <w:t>following and tracing in equity;</w:t>
            </w:r>
          </w:p>
          <w:p w14:paraId="57A7B3C1"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 xml:space="preserve">The </w:t>
            </w:r>
            <w:r>
              <w:rPr>
                <w:rFonts w:ascii="Arial" w:hAnsi="Arial" w:cs="Arial"/>
                <w:color w:val="6C6361"/>
                <w:sz w:val="24"/>
                <w:szCs w:val="24"/>
              </w:rPr>
              <w:t>requirements for tracing in equity;</w:t>
            </w:r>
          </w:p>
          <w:p w14:paraId="57A7E4DA"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5 principles f</w:t>
            </w:r>
            <w:r>
              <w:rPr>
                <w:rFonts w:ascii="Arial" w:hAnsi="Arial" w:cs="Arial"/>
                <w:color w:val="6C6361"/>
                <w:sz w:val="24"/>
                <w:szCs w:val="24"/>
              </w:rPr>
              <w:t>or tracing in equity;</w:t>
            </w:r>
          </w:p>
          <w:p w14:paraId="5F03750E"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w:t>
            </w:r>
            <w:r>
              <w:rPr>
                <w:rFonts w:ascii="Arial" w:hAnsi="Arial" w:cs="Arial"/>
                <w:color w:val="6C6361"/>
                <w:sz w:val="24"/>
                <w:szCs w:val="24"/>
              </w:rPr>
              <w:t>e 5 limits to tracing in equity;</w:t>
            </w:r>
          </w:p>
          <w:p w14:paraId="22AE8F93" w14:textId="77777777" w:rsidR="006F6FAC"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w:t>
            </w:r>
            <w:r>
              <w:rPr>
                <w:rFonts w:ascii="Arial" w:hAnsi="Arial" w:cs="Arial"/>
                <w:color w:val="6C6361"/>
                <w:sz w:val="24"/>
                <w:szCs w:val="24"/>
              </w:rPr>
              <w:t>e benefits of tracing in equity;</w:t>
            </w:r>
          </w:p>
          <w:p w14:paraId="1DC6CD0D" w14:textId="77777777" w:rsidR="006F6FAC" w:rsidRPr="004776DE" w:rsidRDefault="006F6FAC" w:rsidP="00C9305E">
            <w:pPr>
              <w:pStyle w:val="ListParagraph"/>
              <w:numPr>
                <w:ilvl w:val="0"/>
                <w:numId w:val="2"/>
              </w:numPr>
              <w:rPr>
                <w:rFonts w:ascii="Arial" w:hAnsi="Arial" w:cs="Arial"/>
                <w:color w:val="6C6361"/>
                <w:sz w:val="24"/>
                <w:szCs w:val="24"/>
              </w:rPr>
            </w:pPr>
            <w:r w:rsidRPr="004776DE">
              <w:rPr>
                <w:rFonts w:ascii="Arial" w:hAnsi="Arial" w:cs="Arial"/>
                <w:color w:val="6C6361"/>
                <w:sz w:val="24"/>
                <w:szCs w:val="24"/>
              </w:rPr>
              <w:t>The development of “Backwards Tracing” in The Federal Republic of Brazil and another v Durant International Corporation and another (Jersey) [2015] UKPC 35;</w:t>
            </w:r>
          </w:p>
          <w:p w14:paraId="6EB52C9C"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Potential liabilities of third parties</w:t>
            </w:r>
            <w:r>
              <w:rPr>
                <w:rFonts w:ascii="Arial" w:hAnsi="Arial" w:cs="Arial"/>
                <w:color w:val="6C6361"/>
                <w:sz w:val="24"/>
                <w:szCs w:val="24"/>
              </w:rPr>
              <w:t xml:space="preserve"> who intermeddle with the trust;</w:t>
            </w:r>
          </w:p>
          <w:p w14:paraId="377D420D"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equitable rules on recipient liability (knowing receipt) and accessory liability (knowing</w:t>
            </w:r>
            <w:r>
              <w:rPr>
                <w:rFonts w:ascii="Arial" w:hAnsi="Arial" w:cs="Arial"/>
                <w:color w:val="6C6361"/>
                <w:sz w:val="24"/>
                <w:szCs w:val="24"/>
              </w:rPr>
              <w:t xml:space="preserve"> or dishonest assistance);</w:t>
            </w:r>
          </w:p>
          <w:p w14:paraId="5B5BBD6B"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Some of the problems for solici</w:t>
            </w:r>
            <w:r>
              <w:rPr>
                <w:rFonts w:ascii="Arial" w:hAnsi="Arial" w:cs="Arial"/>
                <w:color w:val="6C6361"/>
                <w:sz w:val="24"/>
                <w:szCs w:val="24"/>
              </w:rPr>
              <w:t>tors, bankers, accountants etc.;</w:t>
            </w:r>
          </w:p>
          <w:p w14:paraId="697EA3C3" w14:textId="77777777" w:rsidR="006F6FAC" w:rsidRPr="00CB4A13" w:rsidRDefault="006F6FAC" w:rsidP="00C9305E">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Some of t</w:t>
            </w:r>
            <w:r>
              <w:rPr>
                <w:rFonts w:ascii="Arial" w:hAnsi="Arial" w:cs="Arial"/>
                <w:color w:val="6C6361"/>
                <w:sz w:val="24"/>
                <w:szCs w:val="24"/>
              </w:rPr>
              <w:t>he disputed issues in this area.</w:t>
            </w:r>
          </w:p>
        </w:tc>
        <w:tc>
          <w:tcPr>
            <w:tcW w:w="1842" w:type="dxa"/>
            <w:tcBorders>
              <w:top w:val="nil"/>
              <w:left w:val="nil"/>
              <w:bottom w:val="nil"/>
            </w:tcBorders>
            <w:shd w:val="clear" w:color="auto" w:fill="FFFFFF"/>
            <w:vAlign w:val="center"/>
          </w:tcPr>
          <w:p w14:paraId="3A5D4D47" w14:textId="77777777" w:rsidR="006F6FAC" w:rsidRDefault="006F6FAC" w:rsidP="00C9305E">
            <w:pPr>
              <w:jc w:val="center"/>
              <w:rPr>
                <w:rFonts w:ascii="Arial" w:hAnsi="Arial" w:cs="Arial"/>
                <w:color w:val="6C6361"/>
                <w:sz w:val="24"/>
                <w:szCs w:val="24"/>
              </w:rPr>
            </w:pPr>
          </w:p>
          <w:p w14:paraId="286A63AD" w14:textId="77777777" w:rsidR="006F6FAC" w:rsidRDefault="006F6FAC" w:rsidP="00C9305E">
            <w:pPr>
              <w:ind w:right="-108"/>
              <w:jc w:val="center"/>
              <w:rPr>
                <w:rFonts w:ascii="Arial" w:hAnsi="Arial" w:cs="Arial"/>
                <w:color w:val="6C6361"/>
                <w:sz w:val="24"/>
                <w:szCs w:val="24"/>
              </w:rPr>
            </w:pPr>
          </w:p>
          <w:p w14:paraId="147EB73F" w14:textId="77777777" w:rsidR="006F6FAC" w:rsidRDefault="006F6FAC" w:rsidP="00C9305E">
            <w:pPr>
              <w:ind w:right="-108"/>
              <w:jc w:val="center"/>
              <w:rPr>
                <w:rFonts w:ascii="Arial" w:hAnsi="Arial" w:cs="Arial"/>
                <w:color w:val="6C6361"/>
                <w:sz w:val="24"/>
                <w:szCs w:val="24"/>
              </w:rPr>
            </w:pPr>
          </w:p>
          <w:p w14:paraId="5C48A5BB" w14:textId="77777777" w:rsidR="006F6FAC" w:rsidRDefault="006F6FAC" w:rsidP="00C9305E">
            <w:pPr>
              <w:ind w:right="-108"/>
              <w:jc w:val="center"/>
              <w:rPr>
                <w:rFonts w:ascii="Arial" w:hAnsi="Arial" w:cs="Arial"/>
                <w:color w:val="6C6361"/>
                <w:sz w:val="24"/>
                <w:szCs w:val="24"/>
              </w:rPr>
            </w:pPr>
          </w:p>
          <w:p w14:paraId="6A0AD976" w14:textId="77777777" w:rsidR="006F6FAC" w:rsidRDefault="006F6FAC" w:rsidP="00C9305E">
            <w:pPr>
              <w:ind w:right="-108"/>
              <w:jc w:val="center"/>
              <w:rPr>
                <w:rFonts w:ascii="Arial" w:hAnsi="Arial" w:cs="Arial"/>
                <w:color w:val="6C6361"/>
                <w:sz w:val="24"/>
                <w:szCs w:val="24"/>
              </w:rPr>
            </w:pPr>
          </w:p>
          <w:p w14:paraId="3D457E9A" w14:textId="77777777" w:rsidR="006F6FAC" w:rsidRDefault="006F6FAC" w:rsidP="00C9305E">
            <w:pPr>
              <w:ind w:right="-108"/>
              <w:jc w:val="center"/>
              <w:rPr>
                <w:rFonts w:ascii="Arial" w:hAnsi="Arial" w:cs="Arial"/>
                <w:color w:val="6C6361"/>
                <w:sz w:val="24"/>
                <w:szCs w:val="24"/>
              </w:rPr>
            </w:pPr>
          </w:p>
          <w:p w14:paraId="2E16A1A7" w14:textId="77777777" w:rsidR="006F6FAC" w:rsidRDefault="006F6FAC" w:rsidP="00C9305E">
            <w:pPr>
              <w:ind w:right="-108"/>
              <w:jc w:val="center"/>
              <w:rPr>
                <w:rFonts w:ascii="Arial" w:hAnsi="Arial" w:cs="Arial"/>
                <w:color w:val="6C6361"/>
                <w:sz w:val="24"/>
                <w:szCs w:val="24"/>
              </w:rPr>
            </w:pPr>
          </w:p>
          <w:p w14:paraId="354456FD" w14:textId="77777777" w:rsidR="006F6FAC" w:rsidRDefault="006F6FAC" w:rsidP="00C9305E">
            <w:pPr>
              <w:ind w:right="-108"/>
              <w:jc w:val="center"/>
              <w:rPr>
                <w:rFonts w:ascii="Arial" w:hAnsi="Arial" w:cs="Arial"/>
                <w:color w:val="6C6361"/>
                <w:sz w:val="24"/>
                <w:szCs w:val="24"/>
              </w:rPr>
            </w:pPr>
          </w:p>
          <w:p w14:paraId="19CA0127" w14:textId="77777777" w:rsidR="006F6FAC" w:rsidRDefault="006F6FAC" w:rsidP="00C9305E">
            <w:pPr>
              <w:ind w:right="-108"/>
              <w:jc w:val="center"/>
              <w:rPr>
                <w:rFonts w:ascii="Arial" w:hAnsi="Arial" w:cs="Arial"/>
                <w:color w:val="6C6361"/>
                <w:sz w:val="24"/>
                <w:szCs w:val="24"/>
              </w:rPr>
            </w:pPr>
          </w:p>
          <w:p w14:paraId="759AF574" w14:textId="77777777" w:rsidR="006F6FAC" w:rsidRPr="00B12FCD" w:rsidRDefault="006F6FAC" w:rsidP="00C9305E">
            <w:pPr>
              <w:ind w:right="-108"/>
              <w:jc w:val="center"/>
              <w:rPr>
                <w:rFonts w:ascii="Arial" w:hAnsi="Arial" w:cs="Arial"/>
                <w:color w:val="6C6361"/>
                <w:sz w:val="24"/>
                <w:szCs w:val="24"/>
              </w:rPr>
            </w:pPr>
            <w:r w:rsidRPr="002723A2">
              <w:rPr>
                <w:rFonts w:ascii="Arial" w:hAnsi="Arial" w:cs="Arial"/>
                <w:noProof/>
                <w:color w:val="6C6361"/>
                <w:sz w:val="24"/>
                <w:szCs w:val="24"/>
              </w:rPr>
              <w:drawing>
                <wp:inline distT="0" distB="0" distL="0" distR="0" wp14:anchorId="36418BC7" wp14:editId="0B9C278A">
                  <wp:extent cx="893420" cy="102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20" cy="1022400"/>
                          </a:xfrm>
                          <a:prstGeom prst="rect">
                            <a:avLst/>
                          </a:prstGeom>
                          <a:noFill/>
                          <a:ln>
                            <a:noFill/>
                          </a:ln>
                        </pic:spPr>
                      </pic:pic>
                    </a:graphicData>
                  </a:graphic>
                </wp:inline>
              </w:drawing>
            </w:r>
          </w:p>
        </w:tc>
      </w:tr>
    </w:tbl>
    <w:p w14:paraId="569413EC" w14:textId="77777777" w:rsidR="006F6FAC" w:rsidRPr="00452FEA" w:rsidRDefault="006F6FAC"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6F6FAC" w:rsidRPr="00B90951" w14:paraId="36ABBAEB"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4E7B87FB" w14:textId="283FD7B3"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741C95BA" w14:textId="0092E5FB"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EVT000000366</w:t>
            </w:r>
          </w:p>
        </w:tc>
        <w:tc>
          <w:tcPr>
            <w:tcW w:w="1701" w:type="dxa"/>
            <w:tcBorders>
              <w:top w:val="nil"/>
              <w:bottom w:val="single" w:sz="12" w:space="0" w:color="FFFFFF"/>
            </w:tcBorders>
            <w:shd w:val="clear" w:color="auto" w:fill="F0EBE1"/>
            <w:vAlign w:val="center"/>
          </w:tcPr>
          <w:p w14:paraId="07A8EFD8" w14:textId="34DF4BA3"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05DAE7" w14:textId="5431D90B"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6F6FAC" w:rsidRPr="00B90951" w14:paraId="4ED5431D"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752E8B88" w14:textId="68274A71"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15ABC929" w14:textId="647E4133" w:rsidR="006F6FAC" w:rsidRPr="00682661"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5 August 2022 (Friday)</w:t>
            </w:r>
          </w:p>
        </w:tc>
        <w:tc>
          <w:tcPr>
            <w:tcW w:w="1701" w:type="dxa"/>
            <w:tcBorders>
              <w:top w:val="single" w:sz="12" w:space="0" w:color="FFFFFF"/>
              <w:bottom w:val="single" w:sz="12" w:space="0" w:color="FFFFFF"/>
            </w:tcBorders>
            <w:shd w:val="clear" w:color="auto" w:fill="F0EBE1"/>
            <w:vAlign w:val="center"/>
          </w:tcPr>
          <w:p w14:paraId="7A50DAF8" w14:textId="18C6322B"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0AED5B53" w14:textId="5DBC7BBC"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6F6FAC" w:rsidRPr="00B90951" w14:paraId="7741EBF2"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667C7FB5" w14:textId="168BBBAA"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410BF5A" w14:textId="77777777"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0C2CED5B" w14:textId="11899B44"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29A8052" w14:textId="5C09429C" w:rsidR="006F6FAC" w:rsidRPr="00320F79"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C398F78" w14:textId="33370579" w:rsidR="006F6FAC" w:rsidRPr="00682661" w:rsidRDefault="006F6FAC" w:rsidP="006F6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1574C6FB"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37059EC5"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DA8CF25"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01FA7A5"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96F1951"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62B10F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D37BCF7"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2E58F74B"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613CE7E"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4DA928C3" wp14:editId="6D8DA67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0E56DDF"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CB4E365"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22847C4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4FA14AF2"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79C50FDC"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17FE64FC"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6E372293" wp14:editId="54366666">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3C023DD6"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727FE" w14:textId="77777777" w:rsidR="007E5FFF" w:rsidRDefault="007E5FFF" w:rsidP="00546556">
      <w:r>
        <w:separator/>
      </w:r>
    </w:p>
  </w:endnote>
  <w:endnote w:type="continuationSeparator" w:id="0">
    <w:p w14:paraId="42FF730A" w14:textId="77777777" w:rsidR="007E5FFF" w:rsidRDefault="007E5FF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AFF9"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4026F49" w14:textId="77777777" w:rsidTr="00A775CE">
      <w:trPr>
        <w:trHeight w:val="1824"/>
        <w:jc w:val="center"/>
      </w:trPr>
      <w:tc>
        <w:tcPr>
          <w:tcW w:w="5954" w:type="dxa"/>
          <w:vAlign w:val="bottom"/>
        </w:tcPr>
        <w:p w14:paraId="474EAADD"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4D36FE29" wp14:editId="51C14C3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2FFDBE19" w14:textId="77777777" w:rsidR="00197F64" w:rsidRPr="00EA2D57" w:rsidRDefault="00197F64" w:rsidP="00197F64">
          <w:pPr>
            <w:ind w:right="33"/>
            <w:jc w:val="center"/>
            <w:rPr>
              <w:rFonts w:ascii="Arial" w:hAnsi="Arial" w:cs="Arial"/>
              <w:color w:val="E4DCCA"/>
              <w:sz w:val="16"/>
              <w:szCs w:val="16"/>
            </w:rPr>
          </w:pPr>
        </w:p>
        <w:p w14:paraId="34728872"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8E93C35"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6B778F9"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17A8B96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7F962508" wp14:editId="3E17AD8D">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EDC9EAC"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0BFFD8F"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06F1EF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520365D5"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7668B7F"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4C742FCA"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B78E4" w14:textId="77777777" w:rsidR="007E5FFF" w:rsidRDefault="007E5FFF" w:rsidP="00546556">
      <w:r>
        <w:separator/>
      </w:r>
    </w:p>
  </w:footnote>
  <w:footnote w:type="continuationSeparator" w:id="0">
    <w:p w14:paraId="11376D84" w14:textId="77777777" w:rsidR="007E5FFF" w:rsidRDefault="007E5FFF"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559CA" w14:textId="77777777" w:rsidR="002C4DC0" w:rsidRDefault="00F0384F">
    <w:pPr>
      <w:pStyle w:val="Header"/>
    </w:pPr>
    <w:r>
      <w:rPr>
        <w:noProof/>
      </w:rPr>
      <w:drawing>
        <wp:anchor distT="0" distB="0" distL="114300" distR="114300" simplePos="0" relativeHeight="251659264" behindDoc="1" locked="0" layoutInCell="1" allowOverlap="1" wp14:anchorId="398AC047" wp14:editId="1AFF3F95">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cN5kupCPuAqSfX/LEzxt7rfEaEdxy0s8LwrE94hgcmlQpEoQZnI9LzE/Xoqc0vo45cyXp/E8Fux32TWlzqxerQ==" w:salt="gtLDVPT6+2ap4TjANctzk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3518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E7BCD"/>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6FAC"/>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5FFF"/>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177E"/>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4E1C10F4"/>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6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Recovering Misappropriated Property or Its Proceeds: The Principles of Following and Tracing, and the Liability of Strangers to the Trust</vt:lpstr>
    </vt:vector>
  </TitlesOfParts>
  <Manager>Tyrone Tsang</Manager>
  <Company>The Profectional Company Limited</Company>
  <LinksUpToDate>false</LinksUpToDate>
  <CharactersWithSpaces>3727</CharactersWithSpaces>
  <SharedDoc>false</SharedDoc>
  <HyperlinkBase>http://download.profectional.com/events/EVT000000366.docx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Recovering Misappropriated Property or Its Proceeds: The Principles of Following and Tracing, and the Liability of Strangers to the Trust</dc:title>
  <dc:subject>CPD Course: Recovering Misappropriated Property or Its Proceeds: The Principles of Following and Tracing, and the Liability of Strangers to the Trust</dc:subject>
  <dc:creator>The Profectional Company Limited</dc:creator>
  <cp:keywords>Profectional; Kornerstone; CPD; CPT; CLE; CE; RME; Steven Gallagher; Professor of Practice in Law; Associate Dean (Teaching &amp; Learning);The Faculty of Law; The Chinese University of Hong Kong</cp:keywords>
  <cp:lastModifiedBy>Tyrone Tsang</cp:lastModifiedBy>
  <cp:revision>71</cp:revision>
  <cp:lastPrinted>2022-08-05T13:51:00Z</cp:lastPrinted>
  <dcterms:created xsi:type="dcterms:W3CDTF">2017-01-12T02:41:00Z</dcterms:created>
  <dcterms:modified xsi:type="dcterms:W3CDTF">2022-08-05T13:51:00Z</dcterms:modified>
</cp:coreProperties>
</file>