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6266C" w14:textId="77777777" w:rsidR="00CE1A9A" w:rsidRPr="00CE1A9A" w:rsidRDefault="00CE1A9A" w:rsidP="00CE1A9A">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CE1A9A" w:rsidRPr="00523A64" w14:paraId="4E451454" w14:textId="77777777" w:rsidTr="003B7C78">
        <w:trPr>
          <w:trHeight w:val="3119"/>
          <w:jc w:val="center"/>
        </w:trPr>
        <w:tc>
          <w:tcPr>
            <w:tcW w:w="4797" w:type="dxa"/>
            <w:shd w:val="clear" w:color="auto" w:fill="FFFFFF"/>
            <w:vAlign w:val="center"/>
          </w:tcPr>
          <w:p w14:paraId="537CC624" w14:textId="77777777" w:rsidR="00CE1A9A" w:rsidRPr="001A3018" w:rsidRDefault="00CE1A9A" w:rsidP="003B7C78">
            <w:pPr>
              <w:jc w:val="center"/>
              <w:rPr>
                <w:rFonts w:ascii="Arial" w:hAnsi="Arial" w:cs="Arial"/>
                <w:b/>
                <w:bCs/>
                <w:color w:val="524B48"/>
                <w:sz w:val="4"/>
                <w:szCs w:val="4"/>
              </w:rPr>
            </w:pPr>
          </w:p>
          <w:p w14:paraId="74CA22CD" w14:textId="77777777" w:rsidR="00CE1A9A" w:rsidRDefault="00CE1A9A" w:rsidP="003B7C78">
            <w:pPr>
              <w:jc w:val="center"/>
              <w:rPr>
                <w:rStyle w:val="Hyperlink"/>
                <w:rFonts w:ascii="Arial" w:hAnsi="Arial" w:cs="Arial"/>
                <w:b/>
                <w:bCs/>
                <w:color w:val="524B48"/>
                <w:sz w:val="32"/>
                <w:szCs w:val="32"/>
                <w:u w:val="none"/>
              </w:rPr>
            </w:pPr>
            <w:r w:rsidRPr="00CF685C">
              <w:fldChar w:fldCharType="begin"/>
            </w:r>
            <w:r>
              <w:instrText>HYPERLINK "http://cpd.hk/evt000000367/"</w:instrText>
            </w:r>
            <w:r w:rsidRPr="00CF685C">
              <w:fldChar w:fldCharType="separate"/>
            </w:r>
            <w:r>
              <w:rPr>
                <w:rStyle w:val="Hyperlink"/>
                <w:rFonts w:ascii="Arial" w:hAnsi="Arial" w:cs="Arial"/>
                <w:b/>
                <w:bCs/>
                <w:color w:val="524B48"/>
                <w:sz w:val="32"/>
                <w:szCs w:val="32"/>
                <w:u w:val="none"/>
              </w:rPr>
              <w:t>Superheroes</w:t>
            </w:r>
          </w:p>
          <w:p w14:paraId="09A5F681" w14:textId="77777777" w:rsidR="00CE1A9A" w:rsidRDefault="00CE1A9A" w:rsidP="003B7C7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and </w:t>
            </w:r>
            <w:r w:rsidRPr="00070FF0">
              <w:rPr>
                <w:rStyle w:val="Hyperlink"/>
                <w:rFonts w:ascii="Arial" w:hAnsi="Arial" w:cs="Arial"/>
                <w:b/>
                <w:bCs/>
                <w:color w:val="524B48"/>
                <w:sz w:val="32"/>
                <w:szCs w:val="32"/>
                <w:u w:val="none"/>
              </w:rPr>
              <w:t>the Law</w:t>
            </w:r>
          </w:p>
          <w:p w14:paraId="3EEE7939" w14:textId="77777777" w:rsidR="00CE1A9A" w:rsidRPr="00C65AFD" w:rsidRDefault="00CE1A9A" w:rsidP="003B7C7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5DAD48B0" w14:textId="77777777" w:rsidR="00CE1A9A" w:rsidRPr="00C65AFD" w:rsidRDefault="00CE1A9A" w:rsidP="003B7C78">
            <w:pPr>
              <w:jc w:val="center"/>
              <w:rPr>
                <w:rFonts w:ascii="Arial" w:hAnsi="Arial" w:cs="Arial"/>
                <w:i/>
                <w:color w:val="6C6361"/>
                <w:sz w:val="24"/>
                <w:szCs w:val="24"/>
              </w:rPr>
            </w:pPr>
            <w:r w:rsidRPr="00C65AFD">
              <w:rPr>
                <w:rFonts w:ascii="Arial" w:hAnsi="Arial" w:cs="Arial"/>
                <w:i/>
                <w:color w:val="6C6361"/>
                <w:sz w:val="24"/>
                <w:szCs w:val="24"/>
              </w:rPr>
              <w:t>by</w:t>
            </w:r>
          </w:p>
          <w:p w14:paraId="5BCA5EA1" w14:textId="77777777" w:rsidR="00CE1A9A" w:rsidRDefault="00CE1A9A" w:rsidP="003B7C78">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7D9D2665" w14:textId="77777777" w:rsidR="00CE1A9A" w:rsidRDefault="00CE1A9A" w:rsidP="003B7C78">
            <w:pPr>
              <w:jc w:val="center"/>
              <w:rPr>
                <w:rFonts w:ascii="Arial" w:hAnsi="Arial" w:cs="Arial"/>
                <w:color w:val="6C6361"/>
                <w:sz w:val="24"/>
                <w:szCs w:val="24"/>
              </w:rPr>
            </w:pPr>
            <w:r>
              <w:rPr>
                <w:rFonts w:ascii="Arial" w:hAnsi="Arial" w:cs="Arial"/>
                <w:color w:val="6C6361"/>
                <w:sz w:val="24"/>
                <w:szCs w:val="24"/>
              </w:rPr>
              <w:t>Professor of Practice in Law,</w:t>
            </w:r>
          </w:p>
          <w:p w14:paraId="10D6DDB7" w14:textId="77777777" w:rsidR="00CE1A9A" w:rsidRDefault="00CE1A9A" w:rsidP="003B7C78">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1E04740C" w14:textId="77777777" w:rsidR="00CE1A9A" w:rsidRDefault="00CE1A9A" w:rsidP="003B7C78">
            <w:pPr>
              <w:jc w:val="center"/>
              <w:rPr>
                <w:rFonts w:ascii="Arial" w:hAnsi="Arial" w:cs="Arial"/>
                <w:color w:val="6C6361"/>
                <w:sz w:val="24"/>
                <w:szCs w:val="24"/>
              </w:rPr>
            </w:pPr>
            <w:r>
              <w:rPr>
                <w:rFonts w:ascii="Arial" w:hAnsi="Arial" w:cs="Arial"/>
                <w:color w:val="6C6361"/>
                <w:sz w:val="24"/>
                <w:szCs w:val="24"/>
              </w:rPr>
              <w:t>The Faculty of Law,</w:t>
            </w:r>
          </w:p>
          <w:p w14:paraId="2BE4BD89" w14:textId="77777777" w:rsidR="00CE1A9A" w:rsidRPr="007E02E6" w:rsidRDefault="00CE1A9A" w:rsidP="003B7C78">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01480E0F" w14:textId="77777777" w:rsidR="00CE1A9A" w:rsidRPr="00D87ECF" w:rsidRDefault="00CE1A9A" w:rsidP="003B7C78">
            <w:pPr>
              <w:jc w:val="center"/>
              <w:rPr>
                <w:rFonts w:ascii="Arial" w:hAnsi="Arial" w:cs="Arial"/>
                <w:color w:val="6C6361"/>
                <w:sz w:val="8"/>
                <w:szCs w:val="8"/>
              </w:rPr>
            </w:pPr>
          </w:p>
        </w:tc>
        <w:tc>
          <w:tcPr>
            <w:tcW w:w="5976" w:type="dxa"/>
            <w:shd w:val="clear" w:color="auto" w:fill="FFFFFF"/>
            <w:vAlign w:val="center"/>
          </w:tcPr>
          <w:p w14:paraId="44500E65" w14:textId="77777777" w:rsidR="00CE1A9A" w:rsidRPr="00D50772" w:rsidRDefault="00CE1A9A" w:rsidP="003B7C78">
            <w:pPr>
              <w:spacing w:line="276" w:lineRule="auto"/>
              <w:rPr>
                <w:rFonts w:ascii="Arial" w:eastAsia="Times New Roman" w:hAnsi="Arial" w:cs="Arial"/>
                <w:noProof/>
                <w:sz w:val="20"/>
                <w:szCs w:val="20"/>
              </w:rPr>
            </w:pPr>
            <w:r w:rsidRPr="00690EE6">
              <w:rPr>
                <w:rFonts w:ascii="Arial" w:eastAsia="Times New Roman" w:hAnsi="Arial" w:cs="Arial"/>
                <w:noProof/>
                <w:sz w:val="20"/>
                <w:szCs w:val="20"/>
              </w:rPr>
              <w:drawing>
                <wp:anchor distT="0" distB="0" distL="114300" distR="114300" simplePos="0" relativeHeight="251659264" behindDoc="0" locked="0" layoutInCell="1" allowOverlap="1" wp14:anchorId="55523C91" wp14:editId="4EEA5B45">
                  <wp:simplePos x="0" y="0"/>
                  <wp:positionH relativeFrom="column">
                    <wp:posOffset>3175000</wp:posOffset>
                  </wp:positionH>
                  <wp:positionV relativeFrom="paragraph">
                    <wp:posOffset>-54610</wp:posOffset>
                  </wp:positionV>
                  <wp:extent cx="539750" cy="539750"/>
                  <wp:effectExtent l="0" t="0" r="6350" b="6350"/>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FBC42AE" wp14:editId="4456D42B">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4B29C570" w14:textId="77777777" w:rsidR="00CE1A9A" w:rsidRPr="001F2B1D" w:rsidRDefault="00CE1A9A" w:rsidP="00CE1A9A">
      <w:pPr>
        <w:spacing w:line="276" w:lineRule="auto"/>
        <w:jc w:val="left"/>
        <w:rPr>
          <w:rFonts w:ascii="Arial" w:hAnsi="Arial" w:cs="Arial"/>
          <w:sz w:val="8"/>
          <w:szCs w:val="13"/>
        </w:rPr>
      </w:pPr>
    </w:p>
    <w:tbl>
      <w:tblPr>
        <w:tblW w:w="10773" w:type="dxa"/>
        <w:jc w:val="center"/>
        <w:tblLook w:val="04A0" w:firstRow="1" w:lastRow="0" w:firstColumn="1" w:lastColumn="0" w:noHBand="0" w:noVBand="1"/>
      </w:tblPr>
      <w:tblGrid>
        <w:gridCol w:w="1985"/>
        <w:gridCol w:w="8788"/>
      </w:tblGrid>
      <w:tr w:rsidR="00CE1A9A" w:rsidRPr="000F3FFC" w14:paraId="3DDD479C" w14:textId="77777777" w:rsidTr="003B7C78">
        <w:trPr>
          <w:trHeight w:val="2501"/>
          <w:jc w:val="center"/>
        </w:trPr>
        <w:tc>
          <w:tcPr>
            <w:tcW w:w="1985" w:type="dxa"/>
            <w:shd w:val="clear" w:color="auto" w:fill="FFFFFF"/>
            <w:vAlign w:val="center"/>
          </w:tcPr>
          <w:p w14:paraId="1C883B3F" w14:textId="77777777" w:rsidR="00CE1A9A" w:rsidRPr="000F3FFC" w:rsidRDefault="00CE1A9A" w:rsidP="003B7C78">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52164FFC" wp14:editId="3D0752A2">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3155A665" w14:textId="77777777" w:rsidR="00CE1A9A" w:rsidRPr="003D5569" w:rsidRDefault="00CE1A9A" w:rsidP="003B7C78">
            <w:pPr>
              <w:rPr>
                <w:rFonts w:ascii="Arial" w:hAnsi="Arial" w:cs="Arial"/>
                <w:color w:val="6C6361"/>
                <w:sz w:val="24"/>
                <w:szCs w:val="21"/>
              </w:rPr>
            </w:pPr>
            <w:r w:rsidRPr="003D5569">
              <w:rPr>
                <w:rFonts w:ascii="Arial" w:hAnsi="Arial" w:cs="Arial"/>
                <w:color w:val="6C6361"/>
                <w:sz w:val="24"/>
                <w:szCs w:val="21"/>
              </w:rPr>
              <w:t xml:space="preserve">Steven Gallagher was awarded a </w:t>
            </w:r>
            <w:proofErr w:type="gramStart"/>
            <w:r w:rsidRPr="003D5569">
              <w:rPr>
                <w:rFonts w:ascii="Arial" w:hAnsi="Arial" w:cs="Arial"/>
                <w:color w:val="6C6361"/>
                <w:sz w:val="24"/>
                <w:szCs w:val="21"/>
              </w:rPr>
              <w:t>first class</w:t>
            </w:r>
            <w:proofErr w:type="gramEnd"/>
            <w:r w:rsidRPr="003D5569">
              <w:rPr>
                <w:rFonts w:ascii="Arial" w:hAnsi="Arial" w:cs="Arial"/>
                <w:color w:val="6C6361"/>
                <w:sz w:val="24"/>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3D5569">
              <w:rPr>
                <w:rFonts w:ascii="Arial" w:hAnsi="Arial" w:cs="Arial"/>
                <w:color w:val="6C6361"/>
                <w:sz w:val="24"/>
                <w:szCs w:val="21"/>
              </w:rPr>
              <w:t>programme</w:t>
            </w:r>
            <w:proofErr w:type="spellEnd"/>
            <w:r w:rsidRPr="003D5569">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of trusts, cultural heritage law, legal history and law and technology.</w:t>
            </w:r>
          </w:p>
        </w:tc>
      </w:tr>
    </w:tbl>
    <w:p w14:paraId="6D10FA1F" w14:textId="77777777" w:rsidR="00CE1A9A" w:rsidRPr="001F2B1D" w:rsidRDefault="00CE1A9A" w:rsidP="00CE1A9A">
      <w:pPr>
        <w:spacing w:line="276" w:lineRule="auto"/>
        <w:jc w:val="left"/>
        <w:rPr>
          <w:rFonts w:ascii="Arial" w:hAnsi="Arial" w:cs="Arial"/>
          <w:sz w:val="8"/>
          <w:szCs w:val="15"/>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CE1A9A" w:rsidRPr="00CE1A9A" w14:paraId="3B31B880" w14:textId="77777777" w:rsidTr="003B7C78">
        <w:trPr>
          <w:trHeight w:val="1644"/>
          <w:jc w:val="center"/>
        </w:trPr>
        <w:tc>
          <w:tcPr>
            <w:tcW w:w="10773" w:type="dxa"/>
            <w:gridSpan w:val="2"/>
            <w:tcBorders>
              <w:top w:val="nil"/>
              <w:bottom w:val="nil"/>
            </w:tcBorders>
            <w:shd w:val="clear" w:color="auto" w:fill="FFFFFF" w:themeFill="background1"/>
            <w:vAlign w:val="center"/>
          </w:tcPr>
          <w:p w14:paraId="3F5857EB" w14:textId="77777777" w:rsidR="00CE1A9A" w:rsidRPr="00CE1A9A" w:rsidRDefault="00CE1A9A" w:rsidP="003B7C78">
            <w:pPr>
              <w:spacing w:line="276" w:lineRule="auto"/>
              <w:rPr>
                <w:rFonts w:ascii="Arial" w:hAnsi="Arial" w:cs="Arial"/>
                <w:color w:val="6C6361"/>
                <w:sz w:val="17"/>
                <w:szCs w:val="17"/>
              </w:rPr>
            </w:pPr>
            <w:r w:rsidRPr="00CE1A9A">
              <w:rPr>
                <w:rFonts w:ascii="Arial" w:hAnsi="Arial" w:cs="Arial"/>
                <w:color w:val="6C6361"/>
                <w:sz w:val="17"/>
                <w:szCs w:val="17"/>
              </w:rPr>
              <w:t>The highly successful Marvel Cinematic Universe films portray incidents which raise many ethical and legal questions.  This three-hour seminar will provide an introduction and overview of the issues that arise in these films and other superhero films.  These legal issues range from the commonplace to the esoteric.  For the former we will consider, for example, intellectual property issues, the possibility of criminal and civil liability for personal injury and property damage, and the procedural and evidential issues that may arise with regard to prosecuting superheroes or receiving evidence from them.  The more esoteric topics considered include international humanitarian law, aviation law, the law and artificial intelligence and robotics, and space law.  No prior knowledge of the films or comics is necessary.  Apart from the international and outer space law issues, the law discussed will be the law of Hong Kong.</w:t>
            </w:r>
          </w:p>
        </w:tc>
      </w:tr>
      <w:tr w:rsidR="00CE1A9A" w:rsidRPr="00CE1A9A" w14:paraId="2B5E7758" w14:textId="77777777" w:rsidTr="003B7C78">
        <w:trPr>
          <w:trHeight w:val="227"/>
          <w:jc w:val="center"/>
        </w:trPr>
        <w:tc>
          <w:tcPr>
            <w:tcW w:w="10773" w:type="dxa"/>
            <w:gridSpan w:val="2"/>
            <w:tcBorders>
              <w:top w:val="nil"/>
              <w:bottom w:val="nil"/>
            </w:tcBorders>
            <w:shd w:val="clear" w:color="auto" w:fill="F0EBE1"/>
            <w:vAlign w:val="center"/>
          </w:tcPr>
          <w:p w14:paraId="7D7FD013" w14:textId="77777777" w:rsidR="00CE1A9A" w:rsidRPr="00CE1A9A" w:rsidRDefault="00CE1A9A" w:rsidP="003B7C78">
            <w:pPr>
              <w:spacing w:line="276" w:lineRule="auto"/>
              <w:jc w:val="left"/>
              <w:rPr>
                <w:rFonts w:ascii="Arial" w:hAnsi="Arial" w:cs="Arial"/>
                <w:b/>
                <w:color w:val="524B48"/>
                <w:sz w:val="17"/>
                <w:szCs w:val="17"/>
              </w:rPr>
            </w:pPr>
            <w:r w:rsidRPr="00CE1A9A">
              <w:rPr>
                <w:rFonts w:ascii="Arial" w:hAnsi="Arial" w:cs="Arial"/>
                <w:b/>
                <w:color w:val="524B48"/>
                <w:sz w:val="17"/>
                <w:szCs w:val="17"/>
              </w:rPr>
              <w:t>Some of the questions considered in this seminar include:</w:t>
            </w:r>
          </w:p>
        </w:tc>
      </w:tr>
      <w:tr w:rsidR="00CE1A9A" w:rsidRPr="00CE1A9A" w14:paraId="7655D17A" w14:textId="77777777" w:rsidTr="00CE1A9A">
        <w:trPr>
          <w:trHeight w:val="3483"/>
          <w:jc w:val="center"/>
        </w:trPr>
        <w:tc>
          <w:tcPr>
            <w:tcW w:w="9072" w:type="dxa"/>
            <w:tcBorders>
              <w:top w:val="nil"/>
              <w:bottom w:val="nil"/>
              <w:right w:val="nil"/>
            </w:tcBorders>
            <w:shd w:val="clear" w:color="auto" w:fill="FFFFFF" w:themeFill="background1"/>
            <w:vAlign w:val="center"/>
          </w:tcPr>
          <w:p w14:paraId="621529FB"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 xml:space="preserve">When </w:t>
            </w:r>
            <w:proofErr w:type="spellStart"/>
            <w:r w:rsidRPr="00CE1A9A">
              <w:rPr>
                <w:rFonts w:ascii="Arial" w:hAnsi="Arial" w:cs="Arial"/>
                <w:color w:val="6C6361"/>
                <w:sz w:val="17"/>
                <w:szCs w:val="17"/>
              </w:rPr>
              <w:t>Thanos</w:t>
            </w:r>
            <w:proofErr w:type="spellEnd"/>
            <w:r w:rsidRPr="00CE1A9A">
              <w:rPr>
                <w:rFonts w:ascii="Arial" w:hAnsi="Arial" w:cs="Arial"/>
                <w:color w:val="6C6361"/>
                <w:sz w:val="17"/>
                <w:szCs w:val="17"/>
              </w:rPr>
              <w:t xml:space="preserve"> killed/destroyed the Vision - was this murder or criminal damage?</w:t>
            </w:r>
          </w:p>
          <w:p w14:paraId="60F8792B"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Is it murder for Blade to kill/destroy a vampire?</w:t>
            </w:r>
          </w:p>
          <w:p w14:paraId="374D518B"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Can we prosecute a vampire for murder if they are not alive?</w:t>
            </w:r>
          </w:p>
          <w:p w14:paraId="2C3E230E"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Are the Green Goblin and the Joker legally insane?</w:t>
            </w:r>
          </w:p>
          <w:p w14:paraId="66D39697"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Is Loki’s mind control of Hawkeye insane or non-insane automatism - or something else?</w:t>
            </w:r>
          </w:p>
          <w:p w14:paraId="5E451C22"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Who is responsible for death and destruction caused by an automated weapon or an android?</w:t>
            </w:r>
          </w:p>
          <w:p w14:paraId="1C55392B"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Which court may have jurisdiction over a Norse god?</w:t>
            </w:r>
          </w:p>
          <w:p w14:paraId="0C7EE0EB"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Do superheroes have to remove their masks to give evidence in court?</w:t>
            </w:r>
          </w:p>
          <w:p w14:paraId="7A8756FB"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Who pays for the cleanup when the Avengers save the world?</w:t>
            </w:r>
          </w:p>
          <w:p w14:paraId="3520E38E"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Is superhero damage covered in standard insurance policies?</w:t>
            </w:r>
          </w:p>
          <w:p w14:paraId="49C6888A"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May SHIELD use electronic surveillance on anyone?</w:t>
            </w:r>
          </w:p>
          <w:p w14:paraId="6070FAAF"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May Spiderman sue if someone exposes his identity as Peter Parker?</w:t>
            </w:r>
          </w:p>
          <w:p w14:paraId="694E02A2"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After the “snap”, could those who returned claim the property they owned before?</w:t>
            </w:r>
          </w:p>
          <w:p w14:paraId="70C7F2BD"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Is there a special law for space piracy?</w:t>
            </w:r>
          </w:p>
          <w:p w14:paraId="41B84076" w14:textId="77777777" w:rsidR="00CE1A9A" w:rsidRPr="00CE1A9A" w:rsidRDefault="00CE1A9A" w:rsidP="003B7C78">
            <w:pPr>
              <w:pStyle w:val="ListParagraph"/>
              <w:numPr>
                <w:ilvl w:val="0"/>
                <w:numId w:val="2"/>
              </w:numPr>
              <w:spacing w:line="276" w:lineRule="auto"/>
              <w:jc w:val="left"/>
              <w:rPr>
                <w:rFonts w:ascii="Arial" w:hAnsi="Arial" w:cs="Arial"/>
                <w:color w:val="6C6361"/>
                <w:sz w:val="17"/>
                <w:szCs w:val="17"/>
              </w:rPr>
            </w:pPr>
            <w:r w:rsidRPr="00CE1A9A">
              <w:rPr>
                <w:rFonts w:ascii="Arial" w:hAnsi="Arial" w:cs="Arial"/>
                <w:color w:val="6C6361"/>
                <w:sz w:val="17"/>
                <w:szCs w:val="17"/>
              </w:rPr>
              <w:t>Which court might have jurisdiction over the criminal actions of the Guardians of the Galaxy?</w:t>
            </w:r>
          </w:p>
        </w:tc>
        <w:tc>
          <w:tcPr>
            <w:tcW w:w="1701" w:type="dxa"/>
            <w:tcBorders>
              <w:top w:val="nil"/>
              <w:left w:val="nil"/>
              <w:bottom w:val="nil"/>
            </w:tcBorders>
            <w:shd w:val="clear" w:color="auto" w:fill="FFFFFF" w:themeFill="background1"/>
            <w:vAlign w:val="center"/>
          </w:tcPr>
          <w:p w14:paraId="548DB5D3" w14:textId="77777777" w:rsidR="00CE1A9A" w:rsidRPr="00CE1A9A" w:rsidRDefault="00CE1A9A" w:rsidP="003B7C78">
            <w:pPr>
              <w:spacing w:line="276" w:lineRule="auto"/>
              <w:jc w:val="center"/>
              <w:rPr>
                <w:rFonts w:ascii="Arial" w:hAnsi="Arial" w:cs="Arial"/>
                <w:color w:val="6C6361"/>
                <w:sz w:val="17"/>
                <w:szCs w:val="17"/>
              </w:rPr>
            </w:pPr>
          </w:p>
          <w:p w14:paraId="5B853A04" w14:textId="77777777" w:rsidR="00CE1A9A" w:rsidRPr="00CE1A9A" w:rsidRDefault="00CE1A9A" w:rsidP="003B7C78">
            <w:pPr>
              <w:spacing w:line="276" w:lineRule="auto"/>
              <w:jc w:val="center"/>
              <w:rPr>
                <w:rFonts w:ascii="Arial" w:hAnsi="Arial" w:cs="Arial"/>
                <w:color w:val="6C6361"/>
                <w:sz w:val="17"/>
                <w:szCs w:val="17"/>
              </w:rPr>
            </w:pPr>
          </w:p>
          <w:p w14:paraId="210F878B" w14:textId="77777777" w:rsidR="00CE1A9A" w:rsidRPr="00CE1A9A" w:rsidRDefault="00CE1A9A" w:rsidP="003B7C78">
            <w:pPr>
              <w:spacing w:line="276" w:lineRule="auto"/>
              <w:jc w:val="center"/>
              <w:rPr>
                <w:rFonts w:ascii="Arial" w:hAnsi="Arial" w:cs="Arial"/>
                <w:color w:val="6C6361"/>
                <w:sz w:val="17"/>
                <w:szCs w:val="17"/>
              </w:rPr>
            </w:pPr>
          </w:p>
          <w:p w14:paraId="6BCF9C09" w14:textId="77777777" w:rsidR="00CE1A9A" w:rsidRPr="00CE1A9A" w:rsidRDefault="00CE1A9A" w:rsidP="003B7C78">
            <w:pPr>
              <w:spacing w:line="276" w:lineRule="auto"/>
              <w:jc w:val="center"/>
              <w:rPr>
                <w:rFonts w:ascii="Arial" w:hAnsi="Arial" w:cs="Arial"/>
                <w:color w:val="6C6361"/>
                <w:sz w:val="17"/>
                <w:szCs w:val="17"/>
              </w:rPr>
            </w:pPr>
          </w:p>
          <w:p w14:paraId="16A1FC7C" w14:textId="77777777" w:rsidR="00CE1A9A" w:rsidRPr="00CE1A9A" w:rsidRDefault="00CE1A9A" w:rsidP="003B7C78">
            <w:pPr>
              <w:spacing w:line="276" w:lineRule="auto"/>
              <w:jc w:val="center"/>
              <w:rPr>
                <w:rFonts w:ascii="Arial" w:hAnsi="Arial" w:cs="Arial"/>
                <w:color w:val="6C6361"/>
                <w:sz w:val="17"/>
                <w:szCs w:val="17"/>
              </w:rPr>
            </w:pPr>
          </w:p>
          <w:p w14:paraId="5F5FD439" w14:textId="77777777" w:rsidR="00CE1A9A" w:rsidRPr="00CE1A9A" w:rsidRDefault="00CE1A9A" w:rsidP="003B7C78">
            <w:pPr>
              <w:spacing w:line="276" w:lineRule="auto"/>
              <w:jc w:val="center"/>
              <w:rPr>
                <w:rFonts w:ascii="Arial" w:hAnsi="Arial" w:cs="Arial"/>
                <w:color w:val="6C6361"/>
                <w:sz w:val="17"/>
                <w:szCs w:val="17"/>
              </w:rPr>
            </w:pPr>
          </w:p>
          <w:p w14:paraId="7A5D6ADE" w14:textId="77777777" w:rsidR="00CE1A9A" w:rsidRPr="00CE1A9A" w:rsidRDefault="00CE1A9A" w:rsidP="003B7C78">
            <w:pPr>
              <w:spacing w:line="276" w:lineRule="auto"/>
              <w:jc w:val="center"/>
              <w:rPr>
                <w:rFonts w:ascii="Arial" w:hAnsi="Arial" w:cs="Arial"/>
                <w:color w:val="6C6361"/>
                <w:sz w:val="17"/>
                <w:szCs w:val="17"/>
              </w:rPr>
            </w:pPr>
          </w:p>
          <w:p w14:paraId="6CD9B085" w14:textId="77777777" w:rsidR="00CE1A9A" w:rsidRPr="00CE1A9A" w:rsidRDefault="00CE1A9A" w:rsidP="003B7C78">
            <w:pPr>
              <w:spacing w:line="276" w:lineRule="auto"/>
              <w:jc w:val="center"/>
              <w:rPr>
                <w:rFonts w:ascii="Arial" w:hAnsi="Arial" w:cs="Arial"/>
                <w:color w:val="6C6361"/>
                <w:sz w:val="17"/>
                <w:szCs w:val="17"/>
              </w:rPr>
            </w:pPr>
            <w:r w:rsidRPr="00CE1A9A">
              <w:rPr>
                <w:rFonts w:ascii="Arial" w:hAnsi="Arial" w:cs="Arial"/>
                <w:noProof/>
                <w:color w:val="6C6361"/>
                <w:sz w:val="17"/>
                <w:szCs w:val="17"/>
              </w:rPr>
              <w:drawing>
                <wp:inline distT="0" distB="0" distL="0" distR="0" wp14:anchorId="5CF9F3C1" wp14:editId="7C092A52">
                  <wp:extent cx="892799" cy="1021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2799" cy="1021690"/>
                          </a:xfrm>
                          <a:prstGeom prst="rect">
                            <a:avLst/>
                          </a:prstGeom>
                          <a:noFill/>
                          <a:ln>
                            <a:noFill/>
                          </a:ln>
                        </pic:spPr>
                      </pic:pic>
                    </a:graphicData>
                  </a:graphic>
                </wp:inline>
              </w:drawing>
            </w:r>
          </w:p>
        </w:tc>
      </w:tr>
    </w:tbl>
    <w:p w14:paraId="4E48547F" w14:textId="3F471A55" w:rsidR="00CE1A9A" w:rsidRPr="00CE1A9A" w:rsidRDefault="00CE1A9A" w:rsidP="00F373AA">
      <w:pPr>
        <w:spacing w:line="276" w:lineRule="auto"/>
        <w:rPr>
          <w:rFonts w:ascii="Arial" w:hAnsi="Arial" w:cs="Arial"/>
          <w:sz w:val="8"/>
          <w:szCs w:val="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CE1A9A" w:rsidRPr="00B90951" w14:paraId="1E7443B0" w14:textId="77777777" w:rsidTr="00F373AA">
        <w:trPr>
          <w:trHeight w:val="284"/>
          <w:jc w:val="center"/>
        </w:trPr>
        <w:tc>
          <w:tcPr>
            <w:tcW w:w="1701" w:type="dxa"/>
            <w:tcBorders>
              <w:top w:val="nil"/>
              <w:left w:val="nil"/>
              <w:bottom w:val="single" w:sz="12" w:space="0" w:color="FFFFFF"/>
            </w:tcBorders>
            <w:shd w:val="clear" w:color="auto" w:fill="F0EBE1"/>
            <w:vAlign w:val="center"/>
          </w:tcPr>
          <w:p w14:paraId="4B25C1D1" w14:textId="5F41D946" w:rsidR="00CE1A9A" w:rsidRPr="00320F79"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028944CC" w14:textId="3CD0B1C9" w:rsidR="00CE1A9A" w:rsidRPr="00320F79"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EVT000000367</w:t>
            </w:r>
          </w:p>
        </w:tc>
        <w:tc>
          <w:tcPr>
            <w:tcW w:w="1701" w:type="dxa"/>
            <w:tcBorders>
              <w:top w:val="nil"/>
              <w:bottom w:val="single" w:sz="12" w:space="0" w:color="FFFFFF"/>
            </w:tcBorders>
            <w:shd w:val="clear" w:color="auto" w:fill="F0EBE1"/>
            <w:vAlign w:val="center"/>
          </w:tcPr>
          <w:p w14:paraId="6720FFBA" w14:textId="3A3370D7" w:rsidR="00CE1A9A" w:rsidRPr="00320F79"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64159605" w:rsidR="00CE1A9A" w:rsidRPr="00320F79"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E1A9A" w:rsidRPr="00B90951" w14:paraId="0DFFF51F"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6D55749A" w14:textId="64EA3DC4" w:rsidR="00CE1A9A" w:rsidRPr="00320F79"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9F39D61" w14:textId="70519DAD" w:rsidR="00CE1A9A" w:rsidRPr="00682661"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9 September 2022 (Friday)</w:t>
            </w:r>
          </w:p>
        </w:tc>
        <w:tc>
          <w:tcPr>
            <w:tcW w:w="1701" w:type="dxa"/>
            <w:tcBorders>
              <w:top w:val="single" w:sz="12" w:space="0" w:color="FFFFFF"/>
              <w:bottom w:val="single" w:sz="12" w:space="0" w:color="FFFFFF"/>
            </w:tcBorders>
            <w:shd w:val="clear" w:color="auto" w:fill="F0EBE1"/>
            <w:vAlign w:val="center"/>
          </w:tcPr>
          <w:p w14:paraId="21E97AFE" w14:textId="523EAF67" w:rsidR="00CE1A9A" w:rsidRPr="00320F79"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121C4779" w:rsidR="00CE1A9A" w:rsidRPr="00320F79"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CE1A9A" w:rsidRPr="00B90951" w14:paraId="28027E09"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2F6B4CC7" w14:textId="1987FFC4" w:rsidR="00CE1A9A" w:rsidRPr="00320F79"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70899350" w14:textId="77777777" w:rsidR="00CE1A9A" w:rsidRPr="00320F79"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71CBFC2E" w14:textId="68E563BD" w:rsidR="00CE1A9A" w:rsidRPr="00320F79"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2BC59508" w:rsidR="00CE1A9A" w:rsidRPr="00320F79"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6B0CA2A1" w:rsidR="00CE1A9A" w:rsidRPr="00682661" w:rsidRDefault="00CE1A9A" w:rsidP="00CE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F373AA" w:rsidRPr="00B90951" w14:paraId="44834AD8" w14:textId="77777777" w:rsidTr="00F373AA">
        <w:trPr>
          <w:trHeight w:val="284"/>
          <w:jc w:val="center"/>
        </w:trPr>
        <w:tc>
          <w:tcPr>
            <w:tcW w:w="1701" w:type="dxa"/>
            <w:tcBorders>
              <w:top w:val="single" w:sz="12" w:space="0" w:color="FFFFFF"/>
              <w:left w:val="nil"/>
              <w:bottom w:val="nil"/>
            </w:tcBorders>
            <w:shd w:val="clear" w:color="auto" w:fill="F0EBE1"/>
            <w:vAlign w:val="center"/>
          </w:tcPr>
          <w:p w14:paraId="02A9EAE0"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BA4516A" w14:textId="77777777" w:rsidR="00F373AA"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9D438A2" w14:textId="77777777" w:rsidR="00F373AA" w:rsidRPr="002D6743"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8D899F" w14:textId="77777777" w:rsidR="00F373AA" w:rsidRPr="00B90951"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9E592D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73E580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DC316C6"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63ACDDA9" w14:textId="77777777" w:rsidR="00F373AA" w:rsidRDefault="00F373AA" w:rsidP="00F373AA">
            <w:pPr>
              <w:jc w:val="left"/>
              <w:rPr>
                <w:rFonts w:ascii="Arial" w:hAnsi="Arial" w:cs="Arial"/>
                <w:b/>
                <w:color w:val="6C6361"/>
                <w:sz w:val="20"/>
                <w:szCs w:val="20"/>
              </w:rPr>
            </w:pPr>
          </w:p>
          <w:p w14:paraId="683125B5" w14:textId="77777777" w:rsidR="00F373AA" w:rsidRDefault="00F373AA" w:rsidP="00F373AA">
            <w:pPr>
              <w:jc w:val="left"/>
              <w:rPr>
                <w:rFonts w:ascii="Arial" w:hAnsi="Arial" w:cs="Arial"/>
                <w:b/>
                <w:color w:val="6C6361"/>
                <w:sz w:val="20"/>
                <w:szCs w:val="20"/>
              </w:rPr>
            </w:pPr>
          </w:p>
          <w:p w14:paraId="1CAAF6AF" w14:textId="77777777" w:rsidR="00F373AA" w:rsidRDefault="00F373AA" w:rsidP="00F373AA">
            <w:pPr>
              <w:jc w:val="left"/>
              <w:rPr>
                <w:rFonts w:ascii="Arial" w:hAnsi="Arial" w:cs="Arial"/>
                <w:b/>
                <w:color w:val="6C6361"/>
                <w:sz w:val="20"/>
                <w:szCs w:val="20"/>
              </w:rPr>
            </w:pPr>
          </w:p>
          <w:p w14:paraId="504D7FCC" w14:textId="40807F93" w:rsidR="00F373AA" w:rsidRPr="00B90951" w:rsidRDefault="00F373AA" w:rsidP="00F373AA">
            <w:pPr>
              <w:jc w:val="lef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509194" wp14:editId="4DEDA89E">
                  <wp:extent cx="360000" cy="360000"/>
                  <wp:effectExtent l="0" t="0" r="0" b="0"/>
                  <wp:docPr id="9"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82C9518" w14:textId="77777777" w:rsidR="00F373AA" w:rsidRPr="00B90951" w:rsidRDefault="00F373AA" w:rsidP="00F373AA">
            <w:pPr>
              <w:jc w:val="lef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7160875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14:paraId="39A0A43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BB3C7" w14:textId="77777777" w:rsidR="00FF2294" w:rsidRDefault="00FF2294" w:rsidP="00546556">
      <w:r>
        <w:separator/>
      </w:r>
    </w:p>
  </w:endnote>
  <w:endnote w:type="continuationSeparator" w:id="0">
    <w:p w14:paraId="00EA5DE3" w14:textId="77777777" w:rsidR="00FF2294" w:rsidRDefault="00FF229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951D1" w14:textId="77777777" w:rsidR="00FF2294" w:rsidRDefault="00FF2294" w:rsidP="00546556">
      <w:r>
        <w:separator/>
      </w:r>
    </w:p>
  </w:footnote>
  <w:footnote w:type="continuationSeparator" w:id="0">
    <w:p w14:paraId="0B41AB35" w14:textId="77777777" w:rsidR="00FF2294" w:rsidRDefault="00FF2294"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Bx0MQuNpGk+jmNEVDHlJqtMmyFfQINoqWCV2lcGk4NKIpz0dUmBsnvQAotLvrPa2HabA2p+m4PbwyexYPqj6ug==" w:salt="+xohCBffeBPPILp63kxdg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4DFA"/>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1A9A"/>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2294"/>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jp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345/" TargetMode="External"/><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367/"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Superheroes and the Law</vt:lpstr>
    </vt:vector>
  </TitlesOfParts>
  <Manager>Tyrone Tsang</Manager>
  <Company>The Profectional Company Limited</Company>
  <LinksUpToDate>false</LinksUpToDate>
  <CharactersWithSpaces>3313</CharactersWithSpaces>
  <SharedDoc>false</SharedDoc>
  <HyperlinkBase>http://download.profectional.com/events/EVT000000367.docx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Superheroes and the Law</dc:title>
  <dc:subject>CPD Course: Superheroes and the Law</dc:subject>
  <dc:creator>The Profectional Company Limited</dc:creator>
  <cp:keywords>Profectional; Kornerstone; CPD; CPT; CLE; CE; RME; Steven Gallagher; Professor of Practice in Law; Associate Dean (Teaching &amp; Learning);The Faculty of Law; The Chinese University of Hong Kong</cp:keywords>
  <dc:description/>
  <cp:lastModifiedBy>Tyrone Tsang</cp:lastModifiedBy>
  <cp:revision>54</cp:revision>
  <cp:lastPrinted>2020-09-23T08:22:00Z</cp:lastPrinted>
  <dcterms:created xsi:type="dcterms:W3CDTF">2017-01-12T02:41:00Z</dcterms:created>
  <dcterms:modified xsi:type="dcterms:W3CDTF">2022-09-12T09:40:00Z</dcterms:modified>
  <cp:category/>
</cp:coreProperties>
</file>