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DC95D" w14:textId="77777777" w:rsidR="00CD0F58" w:rsidRPr="00CD0F58" w:rsidRDefault="00CD0F58" w:rsidP="00CD0F58">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CD0F58" w:rsidRPr="00523A64" w14:paraId="66D2FA5A" w14:textId="77777777" w:rsidTr="00525469">
        <w:trPr>
          <w:trHeight w:val="3119"/>
          <w:jc w:val="center"/>
        </w:trPr>
        <w:tc>
          <w:tcPr>
            <w:tcW w:w="4797" w:type="dxa"/>
            <w:shd w:val="clear" w:color="auto" w:fill="FFFFFF"/>
            <w:vAlign w:val="center"/>
          </w:tcPr>
          <w:p w14:paraId="09B2EDF3" w14:textId="77777777" w:rsidR="00CD0F58" w:rsidRPr="001A3018" w:rsidRDefault="00CD0F58" w:rsidP="00525469">
            <w:pPr>
              <w:jc w:val="center"/>
              <w:rPr>
                <w:rFonts w:ascii="Arial" w:hAnsi="Arial" w:cs="Arial"/>
                <w:b/>
                <w:bCs/>
                <w:color w:val="524B48"/>
                <w:sz w:val="4"/>
                <w:szCs w:val="4"/>
              </w:rPr>
            </w:pPr>
          </w:p>
          <w:p w14:paraId="305F2BD1" w14:textId="77777777" w:rsidR="00CD0F58" w:rsidRDefault="00CD0F58" w:rsidP="00525469">
            <w:pPr>
              <w:jc w:val="center"/>
              <w:rPr>
                <w:rStyle w:val="Hyperlink"/>
                <w:rFonts w:ascii="Arial" w:hAnsi="Arial" w:cs="Arial"/>
                <w:b/>
                <w:bCs/>
                <w:color w:val="524B48"/>
                <w:sz w:val="32"/>
                <w:szCs w:val="32"/>
                <w:u w:val="none"/>
              </w:rPr>
            </w:pPr>
            <w:r w:rsidRPr="00CF685C">
              <w:fldChar w:fldCharType="begin"/>
            </w:r>
            <w:r>
              <w:instrText>HYPERLINK "http://cpd.hk/evt000000368/"</w:instrText>
            </w:r>
            <w:r w:rsidRPr="00CF685C">
              <w:fldChar w:fldCharType="separate"/>
            </w:r>
            <w:r w:rsidRPr="00604231">
              <w:rPr>
                <w:rStyle w:val="Hyperlink"/>
                <w:rFonts w:ascii="Arial" w:hAnsi="Arial" w:cs="Arial"/>
                <w:b/>
                <w:bCs/>
                <w:color w:val="524B48"/>
                <w:sz w:val="32"/>
                <w:szCs w:val="32"/>
                <w:u w:val="none"/>
              </w:rPr>
              <w:t>Should We Settle</w:t>
            </w:r>
            <w:r>
              <w:rPr>
                <w:rStyle w:val="Hyperlink"/>
                <w:rFonts w:ascii="Arial" w:hAnsi="Arial" w:cs="Arial"/>
                <w:b/>
                <w:bCs/>
                <w:color w:val="524B48"/>
                <w:sz w:val="32"/>
                <w:szCs w:val="32"/>
                <w:u w:val="none"/>
              </w:rPr>
              <w:br/>
            </w:r>
            <w:r w:rsidRPr="00604231">
              <w:rPr>
                <w:rStyle w:val="Hyperlink"/>
                <w:rFonts w:ascii="Arial" w:hAnsi="Arial" w:cs="Arial"/>
                <w:b/>
                <w:bCs/>
                <w:color w:val="524B48"/>
                <w:sz w:val="32"/>
                <w:szCs w:val="32"/>
                <w:u w:val="none"/>
              </w:rPr>
              <w:t>in Hong Kong</w:t>
            </w:r>
            <w:r>
              <w:rPr>
                <w:rStyle w:val="Hyperlink"/>
                <w:rFonts w:ascii="Arial" w:hAnsi="Arial" w:cs="Arial"/>
                <w:b/>
                <w:bCs/>
                <w:color w:val="524B48"/>
                <w:sz w:val="32"/>
                <w:szCs w:val="32"/>
                <w:u w:val="none"/>
              </w:rPr>
              <w:br/>
            </w:r>
            <w:r w:rsidRPr="00604231">
              <w:rPr>
                <w:rStyle w:val="Hyperlink"/>
                <w:rFonts w:ascii="Arial" w:hAnsi="Arial" w:cs="Arial"/>
                <w:b/>
                <w:bCs/>
                <w:color w:val="524B48"/>
                <w:sz w:val="32"/>
                <w:szCs w:val="32"/>
                <w:u w:val="none"/>
              </w:rPr>
              <w:t>or the Caribbean?</w:t>
            </w:r>
            <w:r>
              <w:rPr>
                <w:rStyle w:val="Hyperlink"/>
                <w:rFonts w:ascii="Arial" w:hAnsi="Arial" w:cs="Arial"/>
                <w:b/>
                <w:bCs/>
                <w:color w:val="524B48"/>
                <w:sz w:val="32"/>
                <w:szCs w:val="32"/>
                <w:u w:val="none"/>
              </w:rPr>
              <w:br/>
            </w:r>
            <w:r w:rsidRPr="00604231">
              <w:rPr>
                <w:rStyle w:val="Hyperlink"/>
                <w:rFonts w:ascii="Arial" w:hAnsi="Arial" w:cs="Arial"/>
                <w:b/>
                <w:bCs/>
                <w:color w:val="524B48"/>
                <w:sz w:val="32"/>
                <w:szCs w:val="32"/>
                <w:u w:val="none"/>
              </w:rPr>
              <w:t>A Comparison</w:t>
            </w:r>
            <w:r>
              <w:rPr>
                <w:rStyle w:val="Hyperlink"/>
                <w:rFonts w:ascii="Arial" w:hAnsi="Arial" w:cs="Arial"/>
                <w:b/>
                <w:bCs/>
                <w:color w:val="524B48"/>
                <w:sz w:val="32"/>
                <w:szCs w:val="32"/>
                <w:u w:val="none"/>
              </w:rPr>
              <w:t xml:space="preserve"> </w:t>
            </w:r>
            <w:r w:rsidRPr="00604231">
              <w:rPr>
                <w:rStyle w:val="Hyperlink"/>
                <w:rFonts w:ascii="Arial" w:hAnsi="Arial" w:cs="Arial"/>
                <w:b/>
                <w:bCs/>
                <w:color w:val="524B48"/>
                <w:sz w:val="32"/>
                <w:szCs w:val="32"/>
                <w:u w:val="none"/>
              </w:rPr>
              <w:t>of Trust Law</w:t>
            </w:r>
            <w:r>
              <w:rPr>
                <w:rStyle w:val="Hyperlink"/>
                <w:rFonts w:ascii="Arial" w:hAnsi="Arial" w:cs="Arial"/>
                <w:b/>
                <w:bCs/>
                <w:color w:val="524B48"/>
                <w:sz w:val="32"/>
                <w:szCs w:val="32"/>
                <w:u w:val="none"/>
              </w:rPr>
              <w:br/>
            </w:r>
            <w:r w:rsidRPr="00604231">
              <w:rPr>
                <w:rStyle w:val="Hyperlink"/>
                <w:rFonts w:ascii="Arial" w:hAnsi="Arial" w:cs="Arial"/>
                <w:b/>
                <w:bCs/>
                <w:color w:val="524B48"/>
                <w:sz w:val="32"/>
                <w:szCs w:val="32"/>
                <w:u w:val="none"/>
              </w:rPr>
              <w:t>in Hong Kong</w:t>
            </w:r>
          </w:p>
          <w:p w14:paraId="4E20AEAB" w14:textId="77777777" w:rsidR="00CD0F58" w:rsidRDefault="00CD0F58" w:rsidP="00525469">
            <w:pPr>
              <w:jc w:val="center"/>
              <w:rPr>
                <w:rStyle w:val="Hyperlink"/>
                <w:rFonts w:ascii="Arial" w:hAnsi="Arial" w:cs="Arial"/>
                <w:b/>
                <w:bCs/>
                <w:color w:val="524B48"/>
                <w:sz w:val="32"/>
                <w:szCs w:val="32"/>
                <w:u w:val="none"/>
              </w:rPr>
            </w:pPr>
            <w:r w:rsidRPr="00604231">
              <w:rPr>
                <w:rStyle w:val="Hyperlink"/>
                <w:rFonts w:ascii="Arial" w:hAnsi="Arial" w:cs="Arial"/>
                <w:b/>
                <w:bCs/>
                <w:color w:val="524B48"/>
                <w:sz w:val="32"/>
                <w:szCs w:val="32"/>
                <w:u w:val="none"/>
              </w:rPr>
              <w:t>and Special Trust</w:t>
            </w:r>
            <w:r>
              <w:rPr>
                <w:rStyle w:val="Hyperlink"/>
                <w:rFonts w:ascii="Arial" w:hAnsi="Arial" w:cs="Arial"/>
                <w:b/>
                <w:bCs/>
                <w:color w:val="524B48"/>
                <w:sz w:val="32"/>
                <w:szCs w:val="32"/>
                <w:u w:val="none"/>
              </w:rPr>
              <w:br/>
            </w:r>
            <w:r w:rsidRPr="00604231">
              <w:rPr>
                <w:rStyle w:val="Hyperlink"/>
                <w:rFonts w:ascii="Arial" w:hAnsi="Arial" w:cs="Arial"/>
                <w:b/>
                <w:bCs/>
                <w:color w:val="524B48"/>
                <w:sz w:val="32"/>
                <w:szCs w:val="32"/>
                <w:u w:val="none"/>
              </w:rPr>
              <w:t>Jurisdictions</w:t>
            </w:r>
            <w:r>
              <w:rPr>
                <w:rStyle w:val="Hyperlink"/>
                <w:rFonts w:ascii="Arial" w:hAnsi="Arial" w:cs="Arial"/>
                <w:b/>
                <w:bCs/>
                <w:color w:val="524B48"/>
                <w:sz w:val="32"/>
                <w:szCs w:val="32"/>
                <w:u w:val="none"/>
              </w:rPr>
              <w:t>:</w:t>
            </w:r>
            <w:r>
              <w:rPr>
                <w:rStyle w:val="Hyperlink"/>
                <w:rFonts w:ascii="Arial" w:hAnsi="Arial" w:cs="Arial"/>
                <w:b/>
                <w:bCs/>
                <w:color w:val="524B48"/>
                <w:sz w:val="32"/>
                <w:szCs w:val="32"/>
                <w:u w:val="none"/>
              </w:rPr>
              <w:br/>
            </w:r>
            <w:r w:rsidRPr="00974367">
              <w:rPr>
                <w:rStyle w:val="Hyperlink"/>
                <w:rFonts w:ascii="Arial" w:hAnsi="Arial" w:cs="Arial"/>
                <w:b/>
                <w:bCs/>
                <w:color w:val="524B48"/>
                <w:sz w:val="32"/>
                <w:szCs w:val="32"/>
                <w:u w:val="none"/>
              </w:rPr>
              <w:t>Including Cayman Islands,</w:t>
            </w:r>
            <w:r>
              <w:rPr>
                <w:rStyle w:val="Hyperlink"/>
                <w:rFonts w:ascii="Arial" w:hAnsi="Arial" w:cs="Arial"/>
                <w:b/>
                <w:bCs/>
                <w:color w:val="524B48"/>
                <w:sz w:val="32"/>
                <w:szCs w:val="32"/>
                <w:u w:val="none"/>
              </w:rPr>
              <w:br/>
            </w:r>
            <w:r w:rsidRPr="00974367">
              <w:rPr>
                <w:rStyle w:val="Hyperlink"/>
                <w:rFonts w:ascii="Arial" w:hAnsi="Arial" w:cs="Arial"/>
                <w:b/>
                <w:bCs/>
                <w:color w:val="524B48"/>
                <w:sz w:val="32"/>
                <w:szCs w:val="32"/>
                <w:u w:val="none"/>
              </w:rPr>
              <w:t>British Virgin Islands,</w:t>
            </w:r>
            <w:r>
              <w:rPr>
                <w:rStyle w:val="Hyperlink"/>
                <w:rFonts w:ascii="Arial" w:hAnsi="Arial" w:cs="Arial"/>
                <w:b/>
                <w:bCs/>
                <w:color w:val="524B48"/>
                <w:sz w:val="32"/>
                <w:szCs w:val="32"/>
                <w:u w:val="none"/>
              </w:rPr>
              <w:br/>
            </w:r>
            <w:r w:rsidRPr="00974367">
              <w:rPr>
                <w:rStyle w:val="Hyperlink"/>
                <w:rFonts w:ascii="Arial" w:hAnsi="Arial" w:cs="Arial"/>
                <w:b/>
                <w:bCs/>
                <w:color w:val="524B48"/>
                <w:sz w:val="32"/>
                <w:szCs w:val="32"/>
                <w:u w:val="none"/>
              </w:rPr>
              <w:t>Seychelles and Singapore</w:t>
            </w:r>
          </w:p>
          <w:p w14:paraId="56D9A35F" w14:textId="77777777" w:rsidR="00CD0F58" w:rsidRPr="00C65AFD" w:rsidRDefault="00CD0F58" w:rsidP="00525469">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765D57C3" w14:textId="77777777" w:rsidR="00CD0F58" w:rsidRPr="00C65AFD" w:rsidRDefault="00CD0F58" w:rsidP="00525469">
            <w:pPr>
              <w:jc w:val="center"/>
              <w:rPr>
                <w:rFonts w:ascii="Arial" w:hAnsi="Arial" w:cs="Arial"/>
                <w:i/>
                <w:color w:val="6C6361"/>
                <w:sz w:val="24"/>
                <w:szCs w:val="24"/>
              </w:rPr>
            </w:pPr>
            <w:r w:rsidRPr="00C65AFD">
              <w:rPr>
                <w:rFonts w:ascii="Arial" w:hAnsi="Arial" w:cs="Arial"/>
                <w:i/>
                <w:color w:val="6C6361"/>
                <w:sz w:val="24"/>
                <w:szCs w:val="24"/>
              </w:rPr>
              <w:t>by</w:t>
            </w:r>
          </w:p>
          <w:p w14:paraId="75FCD563" w14:textId="77777777" w:rsidR="00CD0F58" w:rsidRDefault="00CD0F58" w:rsidP="00525469">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7F933969" w14:textId="77777777" w:rsidR="00CD0F58" w:rsidRDefault="00CD0F58" w:rsidP="00525469">
            <w:pPr>
              <w:jc w:val="center"/>
              <w:rPr>
                <w:rFonts w:ascii="Arial" w:hAnsi="Arial" w:cs="Arial"/>
                <w:color w:val="6C6361"/>
                <w:sz w:val="24"/>
                <w:szCs w:val="24"/>
              </w:rPr>
            </w:pPr>
            <w:r>
              <w:rPr>
                <w:rFonts w:ascii="Arial" w:hAnsi="Arial" w:cs="Arial"/>
                <w:color w:val="6C6361"/>
                <w:sz w:val="24"/>
                <w:szCs w:val="24"/>
              </w:rPr>
              <w:t>Professor of Practice in Law,</w:t>
            </w:r>
          </w:p>
          <w:p w14:paraId="4E0E7A7D" w14:textId="77777777" w:rsidR="00CD0F58" w:rsidRDefault="00CD0F58" w:rsidP="00525469">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1C7DE54E" w14:textId="77777777" w:rsidR="00CD0F58" w:rsidRDefault="00CD0F58" w:rsidP="00525469">
            <w:pPr>
              <w:jc w:val="center"/>
              <w:rPr>
                <w:rFonts w:ascii="Arial" w:hAnsi="Arial" w:cs="Arial"/>
                <w:color w:val="6C6361"/>
                <w:sz w:val="24"/>
                <w:szCs w:val="24"/>
              </w:rPr>
            </w:pPr>
            <w:r>
              <w:rPr>
                <w:rFonts w:ascii="Arial" w:hAnsi="Arial" w:cs="Arial"/>
                <w:color w:val="6C6361"/>
                <w:sz w:val="24"/>
                <w:szCs w:val="24"/>
              </w:rPr>
              <w:t>The Faculty of Law,</w:t>
            </w:r>
          </w:p>
          <w:p w14:paraId="24D29749" w14:textId="77777777" w:rsidR="00CD0F58" w:rsidRPr="007E02E6" w:rsidRDefault="00CD0F58" w:rsidP="00525469">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3E029CF8" w14:textId="77777777" w:rsidR="00CD0F58" w:rsidRPr="00D87ECF" w:rsidRDefault="00CD0F58" w:rsidP="00525469">
            <w:pPr>
              <w:jc w:val="center"/>
              <w:rPr>
                <w:rFonts w:ascii="Arial" w:hAnsi="Arial" w:cs="Arial"/>
                <w:color w:val="6C6361"/>
                <w:sz w:val="8"/>
                <w:szCs w:val="8"/>
              </w:rPr>
            </w:pPr>
          </w:p>
        </w:tc>
        <w:tc>
          <w:tcPr>
            <w:tcW w:w="5976" w:type="dxa"/>
            <w:shd w:val="clear" w:color="auto" w:fill="FFFFFF"/>
            <w:vAlign w:val="center"/>
          </w:tcPr>
          <w:p w14:paraId="054C9A95" w14:textId="77777777" w:rsidR="00CD0F58" w:rsidRPr="00D50772" w:rsidRDefault="00CD0F58" w:rsidP="00525469">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7FA91EA9" wp14:editId="160A4690">
                  <wp:simplePos x="0" y="0"/>
                  <wp:positionH relativeFrom="column">
                    <wp:posOffset>3187065</wp:posOffset>
                  </wp:positionH>
                  <wp:positionV relativeFrom="paragraph">
                    <wp:posOffset>-885825</wp:posOffset>
                  </wp:positionV>
                  <wp:extent cx="539750" cy="539750"/>
                  <wp:effectExtent l="0" t="0" r="6350" b="635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341BDE2" wp14:editId="2C1E4A17">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46DB3FB0" w14:textId="77777777" w:rsidR="00CD0F58" w:rsidRPr="00972E19" w:rsidRDefault="00CD0F58" w:rsidP="00CD0F58">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CD0F58" w:rsidRPr="000F3FFC" w14:paraId="4027DCEE" w14:textId="77777777" w:rsidTr="00525469">
        <w:trPr>
          <w:trHeight w:val="2515"/>
          <w:jc w:val="center"/>
        </w:trPr>
        <w:tc>
          <w:tcPr>
            <w:tcW w:w="1985" w:type="dxa"/>
            <w:shd w:val="clear" w:color="auto" w:fill="FFFFFF"/>
            <w:vAlign w:val="center"/>
          </w:tcPr>
          <w:p w14:paraId="6427197A" w14:textId="77777777" w:rsidR="00CD0F58" w:rsidRPr="000F3FFC" w:rsidRDefault="00CD0F58" w:rsidP="00525469">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210D16AB" wp14:editId="0E2B6E73">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4B0955A8" w14:textId="77777777" w:rsidR="00CD0F58" w:rsidRPr="001900E2" w:rsidRDefault="00CD0F58" w:rsidP="00525469">
            <w:pPr>
              <w:rPr>
                <w:rFonts w:ascii="Arial" w:hAnsi="Arial" w:cs="Arial"/>
                <w:color w:val="6C6361"/>
                <w:sz w:val="21"/>
                <w:szCs w:val="21"/>
              </w:rPr>
            </w:pPr>
            <w:r w:rsidRPr="00227800">
              <w:rPr>
                <w:rFonts w:ascii="Arial" w:hAnsi="Arial" w:cs="Arial"/>
                <w:color w:val="6C6361"/>
                <w:sz w:val="24"/>
                <w:szCs w:val="21"/>
              </w:rPr>
              <w:t xml:space="preserve">Steven Gallagher was awarded a </w:t>
            </w:r>
            <w:proofErr w:type="gramStart"/>
            <w:r w:rsidRPr="00227800">
              <w:rPr>
                <w:rFonts w:ascii="Arial" w:hAnsi="Arial" w:cs="Arial"/>
                <w:color w:val="6C6361"/>
                <w:sz w:val="24"/>
                <w:szCs w:val="21"/>
              </w:rPr>
              <w:t>first class</w:t>
            </w:r>
            <w:proofErr w:type="gramEnd"/>
            <w:r w:rsidRPr="00227800">
              <w:rPr>
                <w:rFonts w:ascii="Arial" w:hAnsi="Arial" w:cs="Arial"/>
                <w:color w:val="6C6361"/>
                <w:sz w:val="24"/>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227800">
              <w:rPr>
                <w:rFonts w:ascii="Arial" w:hAnsi="Arial" w:cs="Arial"/>
                <w:color w:val="6C6361"/>
                <w:sz w:val="24"/>
                <w:szCs w:val="21"/>
              </w:rPr>
              <w:t>programme</w:t>
            </w:r>
            <w:proofErr w:type="spellEnd"/>
            <w:r w:rsidRPr="00227800">
              <w:rPr>
                <w:rFonts w:ascii="Arial" w:hAnsi="Arial" w:cs="Arial"/>
                <w:color w:val="6C6361"/>
                <w:sz w:val="24"/>
                <w:szCs w:val="21"/>
              </w:rPr>
              <w:t>.  Steven has presented continuing professional development courses for solicitors in Hong Kong on many topics associated with equity.  Steven’s research interests include equity and the law o</w:t>
            </w:r>
            <w:r>
              <w:rPr>
                <w:rFonts w:ascii="Arial" w:hAnsi="Arial" w:cs="Arial"/>
                <w:color w:val="6C6361"/>
                <w:sz w:val="24"/>
                <w:szCs w:val="21"/>
              </w:rPr>
              <w:t>f trusts, cultural heritage law, legal history and law and technology.</w:t>
            </w:r>
          </w:p>
        </w:tc>
      </w:tr>
    </w:tbl>
    <w:p w14:paraId="54537A90" w14:textId="77777777" w:rsidR="00CD0F58" w:rsidRPr="00972E19" w:rsidRDefault="00CD0F58" w:rsidP="00CD0F58">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CD0F58" w:rsidRPr="00972E19" w14:paraId="73623D59" w14:textId="77777777" w:rsidTr="00525469">
        <w:trPr>
          <w:trHeight w:val="4236"/>
          <w:jc w:val="center"/>
        </w:trPr>
        <w:tc>
          <w:tcPr>
            <w:tcW w:w="10773" w:type="dxa"/>
            <w:tcBorders>
              <w:top w:val="nil"/>
              <w:bottom w:val="nil"/>
              <w:right w:val="nil"/>
            </w:tcBorders>
            <w:shd w:val="clear" w:color="auto" w:fill="FFFFFF" w:themeFill="background1"/>
            <w:vAlign w:val="center"/>
          </w:tcPr>
          <w:p w14:paraId="2191D9EE" w14:textId="77777777" w:rsidR="00CD0F58" w:rsidRPr="00972E19" w:rsidRDefault="00CD0F58" w:rsidP="00525469">
            <w:pPr>
              <w:spacing w:line="276" w:lineRule="auto"/>
              <w:rPr>
                <w:rFonts w:ascii="Arial" w:hAnsi="Arial" w:cs="Arial"/>
                <w:b/>
                <w:color w:val="524B48"/>
                <w:sz w:val="24"/>
                <w:szCs w:val="20"/>
              </w:rPr>
            </w:pPr>
            <w:r w:rsidRPr="00974367">
              <w:rPr>
                <w:rFonts w:ascii="Arial" w:hAnsi="Arial" w:cs="Arial"/>
                <w:color w:val="6C6361"/>
                <w:sz w:val="24"/>
                <w:szCs w:val="20"/>
              </w:rPr>
              <w:t>This 3-hour seminar will provide an introduction to special trust regimes and a comparison with the law of trusts in Hong Kong.</w:t>
            </w:r>
            <w:r>
              <w:rPr>
                <w:rFonts w:ascii="Arial" w:hAnsi="Arial" w:cs="Arial"/>
                <w:color w:val="6C6361"/>
                <w:sz w:val="24"/>
                <w:szCs w:val="20"/>
              </w:rPr>
              <w:t xml:space="preserve"> </w:t>
            </w:r>
            <w:r w:rsidRPr="00974367">
              <w:rPr>
                <w:rFonts w:ascii="Arial" w:hAnsi="Arial" w:cs="Arial"/>
                <w:color w:val="6C6361"/>
                <w:sz w:val="24"/>
                <w:szCs w:val="20"/>
              </w:rPr>
              <w:t xml:space="preserve"> Many jurisdictions now offer “special trusts”, statutory trusts which differ from common law trusts in many important requirements. </w:t>
            </w:r>
            <w:r>
              <w:rPr>
                <w:rFonts w:ascii="Arial" w:hAnsi="Arial" w:cs="Arial"/>
                <w:color w:val="6C6361"/>
                <w:sz w:val="24"/>
                <w:szCs w:val="20"/>
              </w:rPr>
              <w:t xml:space="preserve"> </w:t>
            </w:r>
            <w:r w:rsidRPr="00974367">
              <w:rPr>
                <w:rFonts w:ascii="Arial" w:hAnsi="Arial" w:cs="Arial"/>
                <w:color w:val="6C6361"/>
                <w:sz w:val="24"/>
                <w:szCs w:val="20"/>
              </w:rPr>
              <w:t xml:space="preserve">Many of these jurisdictions are major offshore investment </w:t>
            </w:r>
            <w:proofErr w:type="spellStart"/>
            <w:r w:rsidRPr="00974367">
              <w:rPr>
                <w:rFonts w:ascii="Arial" w:hAnsi="Arial" w:cs="Arial"/>
                <w:color w:val="6C6361"/>
                <w:sz w:val="24"/>
                <w:szCs w:val="20"/>
              </w:rPr>
              <w:t>centres</w:t>
            </w:r>
            <w:proofErr w:type="spellEnd"/>
            <w:r w:rsidRPr="00974367">
              <w:rPr>
                <w:rFonts w:ascii="Arial" w:hAnsi="Arial" w:cs="Arial"/>
                <w:color w:val="6C6361"/>
                <w:sz w:val="24"/>
                <w:szCs w:val="20"/>
              </w:rPr>
              <w:t xml:space="preserve"> and may be regarded as tax havens. </w:t>
            </w:r>
            <w:r>
              <w:rPr>
                <w:rFonts w:ascii="Arial" w:hAnsi="Arial" w:cs="Arial"/>
                <w:color w:val="6C6361"/>
                <w:sz w:val="24"/>
                <w:szCs w:val="20"/>
              </w:rPr>
              <w:t xml:space="preserve"> </w:t>
            </w:r>
            <w:r w:rsidRPr="00974367">
              <w:rPr>
                <w:rFonts w:ascii="Arial" w:hAnsi="Arial" w:cs="Arial"/>
                <w:color w:val="6C6361"/>
                <w:sz w:val="24"/>
                <w:szCs w:val="20"/>
              </w:rPr>
              <w:t>Special trusts have been developed to attract funds to these jurisdictions and encourage the development of the jurisdiction’s financial sector.</w:t>
            </w:r>
            <w:r>
              <w:rPr>
                <w:rFonts w:ascii="Arial" w:hAnsi="Arial" w:cs="Arial"/>
                <w:color w:val="6C6361"/>
                <w:sz w:val="24"/>
                <w:szCs w:val="20"/>
              </w:rPr>
              <w:t xml:space="preserve"> </w:t>
            </w:r>
            <w:r w:rsidRPr="00974367">
              <w:rPr>
                <w:rFonts w:ascii="Arial" w:hAnsi="Arial" w:cs="Arial"/>
                <w:color w:val="6C6361"/>
                <w:sz w:val="24"/>
                <w:szCs w:val="20"/>
              </w:rPr>
              <w:t xml:space="preserve"> This seminar will consider the major differences in the requirements for the establishment of special trusts from the requirements for the establishment of an express trust in Hong Kong. </w:t>
            </w:r>
            <w:r>
              <w:rPr>
                <w:rFonts w:ascii="Arial" w:hAnsi="Arial" w:cs="Arial"/>
                <w:color w:val="6C6361"/>
                <w:sz w:val="24"/>
                <w:szCs w:val="20"/>
              </w:rPr>
              <w:t xml:space="preserve"> </w:t>
            </w:r>
            <w:r w:rsidRPr="00974367">
              <w:rPr>
                <w:rFonts w:ascii="Arial" w:hAnsi="Arial" w:cs="Arial"/>
                <w:color w:val="6C6361"/>
                <w:sz w:val="24"/>
                <w:szCs w:val="20"/>
              </w:rPr>
              <w:t>The seminar will focus on the special trust regimes of the Cayman Islands and the British Virgin Islands but will also consider special trust regimes in Bermuda, Seychelles and Singapore.  The seminar will also consider the changes to Hong Kong’s statutory law of trust which came into effect on 1st December 2013 and whether this has made Hong Kong, long considered an “offshore” jurisdiction itself, more competitive in the international trusts market.</w:t>
            </w:r>
          </w:p>
        </w:tc>
      </w:tr>
    </w:tbl>
    <w:p w14:paraId="1AD880E3" w14:textId="77777777" w:rsidR="00CD0F58" w:rsidRDefault="00CD0F58" w:rsidP="00CD0F58">
      <w:pPr>
        <w:spacing w:line="276" w:lineRule="auto"/>
        <w:jc w:val="left"/>
        <w:rPr>
          <w:rFonts w:ascii="Arial" w:hAnsi="Arial" w:cs="Arial"/>
          <w:sz w:val="20"/>
          <w:szCs w:val="20"/>
        </w:rPr>
      </w:pPr>
    </w:p>
    <w:p w14:paraId="7ED53A2F" w14:textId="77777777" w:rsidR="00CD0F58" w:rsidRDefault="00CD0F58" w:rsidP="00CD0F58">
      <w:pPr>
        <w:spacing w:line="276" w:lineRule="auto"/>
        <w:jc w:val="left"/>
        <w:rPr>
          <w:rFonts w:ascii="Arial" w:hAnsi="Arial" w:cs="Arial"/>
          <w:sz w:val="20"/>
          <w:szCs w:val="20"/>
        </w:rPr>
      </w:pPr>
    </w:p>
    <w:p w14:paraId="3399CED1" w14:textId="77777777" w:rsidR="00CD0F58" w:rsidRDefault="00CD0F58" w:rsidP="00CD0F58">
      <w:pPr>
        <w:spacing w:line="276" w:lineRule="auto"/>
        <w:jc w:val="left"/>
        <w:rPr>
          <w:rFonts w:ascii="Arial" w:hAnsi="Arial" w:cs="Arial"/>
          <w:sz w:val="20"/>
          <w:szCs w:val="20"/>
        </w:rPr>
      </w:pPr>
    </w:p>
    <w:p w14:paraId="2EA00164" w14:textId="77777777" w:rsidR="00CD0F58" w:rsidRPr="00972E19" w:rsidRDefault="00CD0F58" w:rsidP="00CD0F58">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CD0F58" w:rsidRPr="00972E19" w14:paraId="109F9250" w14:textId="77777777" w:rsidTr="00525469">
        <w:trPr>
          <w:trHeight w:val="397"/>
          <w:jc w:val="center"/>
        </w:trPr>
        <w:tc>
          <w:tcPr>
            <w:tcW w:w="10773" w:type="dxa"/>
            <w:gridSpan w:val="2"/>
            <w:tcBorders>
              <w:top w:val="nil"/>
              <w:bottom w:val="nil"/>
              <w:right w:val="nil"/>
            </w:tcBorders>
            <w:shd w:val="clear" w:color="auto" w:fill="F0EBE1"/>
            <w:vAlign w:val="center"/>
          </w:tcPr>
          <w:p w14:paraId="4B622E85" w14:textId="77777777" w:rsidR="00CD0F58" w:rsidRPr="00972E19" w:rsidRDefault="00CD0F58" w:rsidP="00525469">
            <w:pPr>
              <w:spacing w:line="276" w:lineRule="auto"/>
              <w:rPr>
                <w:rFonts w:ascii="Arial" w:hAnsi="Arial" w:cs="Arial"/>
                <w:b/>
                <w:color w:val="524B48"/>
                <w:sz w:val="24"/>
                <w:szCs w:val="20"/>
              </w:rPr>
            </w:pPr>
            <w:r w:rsidRPr="00972E19">
              <w:rPr>
                <w:rFonts w:ascii="Arial" w:hAnsi="Arial" w:cs="Arial"/>
                <w:b/>
                <w:color w:val="524B48"/>
                <w:sz w:val="24"/>
                <w:szCs w:val="20"/>
              </w:rPr>
              <w:lastRenderedPageBreak/>
              <w:t>Some of the topics considered in this seminar will be:</w:t>
            </w:r>
          </w:p>
        </w:tc>
      </w:tr>
      <w:tr w:rsidR="00CD0F58" w:rsidRPr="00972E19" w14:paraId="539E6C2F" w14:textId="77777777" w:rsidTr="00525469">
        <w:trPr>
          <w:trHeight w:val="4733"/>
          <w:jc w:val="center"/>
        </w:trPr>
        <w:tc>
          <w:tcPr>
            <w:tcW w:w="9072" w:type="dxa"/>
            <w:tcBorders>
              <w:top w:val="nil"/>
              <w:bottom w:val="nil"/>
            </w:tcBorders>
            <w:shd w:val="clear" w:color="auto" w:fill="FFFFFF" w:themeFill="background1"/>
            <w:vAlign w:val="center"/>
          </w:tcPr>
          <w:p w14:paraId="54BCD36A"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development of the law of special trust regimes;</w:t>
            </w:r>
          </w:p>
          <w:p w14:paraId="6B0766DE"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development of the STAR trust of the Cayman Islands;</w:t>
            </w:r>
          </w:p>
          <w:p w14:paraId="160238EE"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Requirements for the creation of a STAR trust;</w:t>
            </w:r>
          </w:p>
          <w:p w14:paraId="6E4EB3B0"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development of the VISTA trust in the British Virgin Islands;</w:t>
            </w:r>
          </w:p>
          <w:p w14:paraId="5C504DBD"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Requirements for the creation of a VISTA trust;</w:t>
            </w:r>
          </w:p>
          <w:p w14:paraId="0FC32D98"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Trusts in Bermuda</w:t>
            </w:r>
            <w:r>
              <w:rPr>
                <w:rFonts w:ascii="Arial" w:hAnsi="Arial" w:cs="Arial"/>
                <w:color w:val="6C6361"/>
                <w:sz w:val="24"/>
                <w:szCs w:val="20"/>
              </w:rPr>
              <w:t>;</w:t>
            </w:r>
          </w:p>
          <w:p w14:paraId="4DB8E334"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Seychelles International Trusts (SIT)</w:t>
            </w:r>
            <w:r>
              <w:rPr>
                <w:rFonts w:ascii="Arial" w:hAnsi="Arial" w:cs="Arial"/>
                <w:color w:val="6C6361"/>
                <w:sz w:val="24"/>
                <w:szCs w:val="20"/>
              </w:rPr>
              <w:t>;</w:t>
            </w:r>
          </w:p>
          <w:p w14:paraId="48F12A91"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Singapore and the Singapore Business Trust</w:t>
            </w:r>
            <w:r>
              <w:rPr>
                <w:rFonts w:ascii="Arial" w:hAnsi="Arial" w:cs="Arial"/>
                <w:color w:val="6C6361"/>
                <w:sz w:val="24"/>
                <w:szCs w:val="20"/>
              </w:rPr>
              <w:t>;</w:t>
            </w:r>
          </w:p>
          <w:p w14:paraId="66FACCFF"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differences between special trusts and the common law of trusts;</w:t>
            </w:r>
          </w:p>
          <w:p w14:paraId="3E97480D"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benefits of special trusts;</w:t>
            </w:r>
          </w:p>
          <w:p w14:paraId="4CB3E666"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Legal and practical problems with special trusts;</w:t>
            </w:r>
          </w:p>
          <w:p w14:paraId="2C9AC26E"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Recent changes to Hong Kong's statutory law of trusts intended to make Hong Kong a competitor in the international trust market;</w:t>
            </w:r>
          </w:p>
          <w:p w14:paraId="4821B49A" w14:textId="77777777" w:rsidR="00CD0F58" w:rsidRPr="00974367" w:rsidRDefault="00CD0F58" w:rsidP="00525469">
            <w:pPr>
              <w:pStyle w:val="ListParagraph"/>
              <w:numPr>
                <w:ilvl w:val="0"/>
                <w:numId w:val="1"/>
              </w:numPr>
              <w:spacing w:line="276" w:lineRule="auto"/>
              <w:ind w:right="-108"/>
              <w:jc w:val="left"/>
              <w:rPr>
                <w:rFonts w:ascii="Arial" w:hAnsi="Arial" w:cs="Arial"/>
                <w:color w:val="6C6361"/>
                <w:sz w:val="24"/>
                <w:szCs w:val="20"/>
              </w:rPr>
            </w:pPr>
            <w:r w:rsidRPr="00974367">
              <w:rPr>
                <w:rFonts w:ascii="Arial" w:hAnsi="Arial" w:cs="Arial"/>
                <w:color w:val="6C6361"/>
                <w:sz w:val="24"/>
                <w:szCs w:val="20"/>
              </w:rPr>
              <w:t>The future for special trusts in Hong Kong</w:t>
            </w:r>
            <w:r>
              <w:rPr>
                <w:rFonts w:ascii="Arial" w:hAnsi="Arial" w:cs="Arial"/>
                <w:color w:val="6C6361"/>
                <w:sz w:val="24"/>
                <w:szCs w:val="20"/>
              </w:rPr>
              <w:t>.</w:t>
            </w:r>
          </w:p>
        </w:tc>
        <w:tc>
          <w:tcPr>
            <w:tcW w:w="1701" w:type="dxa"/>
            <w:tcBorders>
              <w:top w:val="nil"/>
              <w:bottom w:val="nil"/>
              <w:right w:val="nil"/>
            </w:tcBorders>
            <w:shd w:val="clear" w:color="auto" w:fill="FFFFFF" w:themeFill="background1"/>
            <w:vAlign w:val="center"/>
          </w:tcPr>
          <w:p w14:paraId="501A4C17" w14:textId="77777777" w:rsidR="00CD0F58" w:rsidRDefault="00CD0F58" w:rsidP="00525469">
            <w:pPr>
              <w:spacing w:line="276" w:lineRule="auto"/>
              <w:jc w:val="center"/>
              <w:rPr>
                <w:rFonts w:ascii="Arial" w:hAnsi="Arial" w:cs="Arial"/>
                <w:color w:val="6C6361"/>
                <w:sz w:val="24"/>
                <w:szCs w:val="20"/>
              </w:rPr>
            </w:pPr>
          </w:p>
          <w:p w14:paraId="1BE5E786" w14:textId="77777777" w:rsidR="00CD0F58" w:rsidRDefault="00CD0F58" w:rsidP="00525469">
            <w:pPr>
              <w:spacing w:line="276" w:lineRule="auto"/>
              <w:jc w:val="center"/>
              <w:rPr>
                <w:rFonts w:ascii="Arial" w:hAnsi="Arial" w:cs="Arial"/>
                <w:color w:val="6C6361"/>
                <w:sz w:val="24"/>
                <w:szCs w:val="20"/>
              </w:rPr>
            </w:pPr>
          </w:p>
          <w:p w14:paraId="5DEFB900" w14:textId="77777777" w:rsidR="00CD0F58" w:rsidRDefault="00CD0F58" w:rsidP="00525469">
            <w:pPr>
              <w:spacing w:line="276" w:lineRule="auto"/>
              <w:jc w:val="center"/>
              <w:rPr>
                <w:rFonts w:ascii="Arial" w:hAnsi="Arial" w:cs="Arial"/>
                <w:color w:val="6C6361"/>
                <w:sz w:val="24"/>
                <w:szCs w:val="20"/>
              </w:rPr>
            </w:pPr>
          </w:p>
          <w:p w14:paraId="50990D1D" w14:textId="77777777" w:rsidR="00CD0F58" w:rsidRDefault="00CD0F58" w:rsidP="00525469">
            <w:pPr>
              <w:spacing w:line="276" w:lineRule="auto"/>
              <w:jc w:val="center"/>
              <w:rPr>
                <w:rFonts w:ascii="Arial" w:hAnsi="Arial" w:cs="Arial"/>
                <w:color w:val="6C6361"/>
                <w:sz w:val="24"/>
                <w:szCs w:val="20"/>
              </w:rPr>
            </w:pPr>
          </w:p>
          <w:p w14:paraId="1A9902C1" w14:textId="77777777" w:rsidR="00CD0F58" w:rsidRDefault="00CD0F58" w:rsidP="00525469">
            <w:pPr>
              <w:spacing w:line="276" w:lineRule="auto"/>
              <w:jc w:val="center"/>
              <w:rPr>
                <w:rFonts w:ascii="Arial" w:hAnsi="Arial" w:cs="Arial"/>
                <w:color w:val="6C6361"/>
                <w:sz w:val="24"/>
                <w:szCs w:val="20"/>
              </w:rPr>
            </w:pPr>
          </w:p>
          <w:p w14:paraId="7B0B6B32" w14:textId="77777777" w:rsidR="00CD0F58" w:rsidRDefault="00CD0F58" w:rsidP="00525469">
            <w:pPr>
              <w:spacing w:line="276" w:lineRule="auto"/>
              <w:jc w:val="center"/>
              <w:rPr>
                <w:rFonts w:ascii="Arial" w:hAnsi="Arial" w:cs="Arial"/>
                <w:color w:val="6C6361"/>
                <w:sz w:val="24"/>
                <w:szCs w:val="20"/>
              </w:rPr>
            </w:pPr>
          </w:p>
          <w:p w14:paraId="001C4924" w14:textId="77777777" w:rsidR="00CD0F58" w:rsidRDefault="00CD0F58" w:rsidP="00525469">
            <w:pPr>
              <w:spacing w:line="276" w:lineRule="auto"/>
              <w:jc w:val="center"/>
              <w:rPr>
                <w:rFonts w:ascii="Arial" w:hAnsi="Arial" w:cs="Arial"/>
                <w:color w:val="6C6361"/>
                <w:sz w:val="24"/>
                <w:szCs w:val="20"/>
              </w:rPr>
            </w:pPr>
          </w:p>
          <w:p w14:paraId="582E93D0" w14:textId="77777777" w:rsidR="00CD0F58" w:rsidRPr="00972E19" w:rsidRDefault="00CD0F58" w:rsidP="00525469">
            <w:pPr>
              <w:spacing w:line="276" w:lineRule="auto"/>
              <w:jc w:val="center"/>
              <w:rPr>
                <w:rFonts w:ascii="Arial" w:hAnsi="Arial" w:cs="Arial"/>
                <w:color w:val="6C6361"/>
                <w:sz w:val="24"/>
                <w:szCs w:val="20"/>
              </w:rPr>
            </w:pPr>
          </w:p>
          <w:p w14:paraId="0DE97313" w14:textId="77777777" w:rsidR="00CD0F58" w:rsidRPr="00972E19" w:rsidRDefault="00CD0F58" w:rsidP="00525469">
            <w:pPr>
              <w:spacing w:line="276" w:lineRule="auto"/>
              <w:jc w:val="center"/>
              <w:rPr>
                <w:rFonts w:ascii="Arial" w:hAnsi="Arial" w:cs="Arial"/>
                <w:color w:val="6C6361"/>
                <w:sz w:val="24"/>
                <w:szCs w:val="20"/>
              </w:rPr>
            </w:pPr>
          </w:p>
          <w:p w14:paraId="4FF05FF7" w14:textId="77777777" w:rsidR="00CD0F58" w:rsidRPr="00972E19" w:rsidRDefault="00CD0F58" w:rsidP="00525469">
            <w:pPr>
              <w:spacing w:line="276" w:lineRule="auto"/>
              <w:jc w:val="center"/>
              <w:rPr>
                <w:rFonts w:ascii="Arial" w:hAnsi="Arial" w:cs="Arial"/>
                <w:color w:val="6C6361"/>
                <w:sz w:val="24"/>
                <w:szCs w:val="20"/>
              </w:rPr>
            </w:pPr>
            <w:r w:rsidRPr="00972E19">
              <w:rPr>
                <w:rFonts w:ascii="Arial" w:hAnsi="Arial" w:cs="Arial"/>
                <w:noProof/>
                <w:color w:val="6C6361"/>
                <w:sz w:val="24"/>
                <w:szCs w:val="20"/>
              </w:rPr>
              <w:drawing>
                <wp:inline distT="0" distB="0" distL="0" distR="0" wp14:anchorId="3338DA77" wp14:editId="2721D2E9">
                  <wp:extent cx="893419" cy="10223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3419" cy="1022398"/>
                          </a:xfrm>
                          <a:prstGeom prst="rect">
                            <a:avLst/>
                          </a:prstGeom>
                          <a:noFill/>
                          <a:ln>
                            <a:noFill/>
                          </a:ln>
                        </pic:spPr>
                      </pic:pic>
                    </a:graphicData>
                  </a:graphic>
                </wp:inline>
              </w:drawing>
            </w:r>
          </w:p>
        </w:tc>
      </w:tr>
    </w:tbl>
    <w:p w14:paraId="4A23F8D0" w14:textId="77777777" w:rsidR="00CD0F58" w:rsidRPr="00E41C1E" w:rsidRDefault="00CD0F58" w:rsidP="00F373A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11"/>
        <w:gridCol w:w="1274"/>
      </w:tblGrid>
      <w:tr w:rsidR="00CD0F58" w:rsidRPr="00B90951" w14:paraId="1E7443B0" w14:textId="77777777" w:rsidTr="00CD0F58">
        <w:trPr>
          <w:trHeight w:val="397"/>
          <w:jc w:val="center"/>
        </w:trPr>
        <w:tc>
          <w:tcPr>
            <w:tcW w:w="1701" w:type="dxa"/>
            <w:tcBorders>
              <w:top w:val="nil"/>
              <w:left w:val="nil"/>
              <w:bottom w:val="single" w:sz="12" w:space="0" w:color="FFFFFF"/>
            </w:tcBorders>
            <w:shd w:val="clear" w:color="auto" w:fill="F0EBE1"/>
            <w:vAlign w:val="center"/>
          </w:tcPr>
          <w:p w14:paraId="4B25C1D1" w14:textId="5354E977"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14:paraId="028944CC" w14:textId="7BEF9964"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EVT000000368</w:t>
            </w:r>
          </w:p>
        </w:tc>
        <w:tc>
          <w:tcPr>
            <w:tcW w:w="1701" w:type="dxa"/>
            <w:tcBorders>
              <w:top w:val="nil"/>
              <w:bottom w:val="single" w:sz="12" w:space="0" w:color="FFFFFF"/>
            </w:tcBorders>
            <w:shd w:val="clear" w:color="auto" w:fill="F0EBE1"/>
            <w:vAlign w:val="center"/>
          </w:tcPr>
          <w:p w14:paraId="6720FFBA" w14:textId="765D596D"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0E0D07D8"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D0F58" w:rsidRPr="00B90951" w14:paraId="0DFFF51F" w14:textId="77777777" w:rsidTr="00CD0F58">
        <w:trPr>
          <w:trHeight w:val="397"/>
          <w:jc w:val="center"/>
        </w:trPr>
        <w:tc>
          <w:tcPr>
            <w:tcW w:w="1701" w:type="dxa"/>
            <w:tcBorders>
              <w:top w:val="single" w:sz="12" w:space="0" w:color="FFFFFF"/>
              <w:left w:val="nil"/>
              <w:bottom w:val="single" w:sz="12" w:space="0" w:color="FFFFFF"/>
            </w:tcBorders>
            <w:shd w:val="clear" w:color="auto" w:fill="F0EBE1"/>
            <w:vAlign w:val="center"/>
          </w:tcPr>
          <w:p w14:paraId="6D55749A" w14:textId="0BD4B212"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14:paraId="49F39D61" w14:textId="58C2F4A8" w:rsidR="00CD0F58" w:rsidRPr="00682661"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7 October 2022 (Friday)</w:t>
            </w:r>
          </w:p>
        </w:tc>
        <w:tc>
          <w:tcPr>
            <w:tcW w:w="1701" w:type="dxa"/>
            <w:tcBorders>
              <w:top w:val="single" w:sz="12" w:space="0" w:color="FFFFFF"/>
              <w:bottom w:val="single" w:sz="12" w:space="0" w:color="FFFFFF"/>
            </w:tcBorders>
            <w:shd w:val="clear" w:color="auto" w:fill="F0EBE1"/>
            <w:vAlign w:val="center"/>
          </w:tcPr>
          <w:p w14:paraId="21E97AFE" w14:textId="4BA455D1"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2A9ECA08"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CD0F58" w:rsidRPr="00B90951" w14:paraId="28027E09" w14:textId="77777777" w:rsidTr="00CD0F58">
        <w:trPr>
          <w:trHeight w:val="397"/>
          <w:jc w:val="center"/>
        </w:trPr>
        <w:tc>
          <w:tcPr>
            <w:tcW w:w="1701" w:type="dxa"/>
            <w:tcBorders>
              <w:top w:val="single" w:sz="12" w:space="0" w:color="FFFFFF"/>
              <w:left w:val="nil"/>
              <w:bottom w:val="single" w:sz="12" w:space="0" w:color="FFFFFF"/>
            </w:tcBorders>
            <w:shd w:val="clear" w:color="auto" w:fill="F0EBE1"/>
            <w:vAlign w:val="center"/>
          </w:tcPr>
          <w:p w14:paraId="2F6B4CC7" w14:textId="6AB27FE3"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14:paraId="42827666" w14:textId="77777777"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22050AC9"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3D94EB3E" w:rsidR="00CD0F58" w:rsidRPr="00320F79"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5BD5395C" w:rsidR="00CD0F58" w:rsidRPr="00682661" w:rsidRDefault="00CD0F58" w:rsidP="00CD0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CD0F58" w:rsidRPr="00B90951" w14:paraId="44834AD8" w14:textId="77777777" w:rsidTr="00CD0F58">
        <w:trPr>
          <w:trHeight w:val="1418"/>
          <w:jc w:val="center"/>
        </w:trPr>
        <w:tc>
          <w:tcPr>
            <w:tcW w:w="1701" w:type="dxa"/>
            <w:tcBorders>
              <w:top w:val="single" w:sz="12" w:space="0" w:color="FFFFFF"/>
              <w:left w:val="nil"/>
              <w:bottom w:val="nil"/>
            </w:tcBorders>
            <w:shd w:val="clear" w:color="auto" w:fill="F0EBE1"/>
            <w:vAlign w:val="center"/>
          </w:tcPr>
          <w:p w14:paraId="02A9EAE0" w14:textId="77777777" w:rsidR="00CD0F58" w:rsidRPr="00B9095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14:paraId="482C9518" w14:textId="3F858B91" w:rsidR="00CD0F58" w:rsidRPr="00CD0F58" w:rsidRDefault="00CD0F58" w:rsidP="00CD0F5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p>
        </w:tc>
        <w:tc>
          <w:tcPr>
            <w:tcW w:w="1701" w:type="dxa"/>
            <w:tcBorders>
              <w:top w:val="single" w:sz="12" w:space="0" w:color="FFFFFF"/>
              <w:bottom w:val="nil"/>
            </w:tcBorders>
            <w:shd w:val="clear" w:color="auto" w:fill="F0EBE1"/>
            <w:vAlign w:val="center"/>
          </w:tcPr>
          <w:p w14:paraId="71608757" w14:textId="77777777" w:rsidR="00CD0F58" w:rsidRPr="003A2A4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CD0F58" w:rsidRPr="003A2A4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CD0F58" w:rsidRPr="003A2A4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5" w:history="1">
              <w:r w:rsidRPr="003A2A41">
                <w:rPr>
                  <w:rStyle w:val="Hyperlink"/>
                  <w:rFonts w:ascii="Arial" w:eastAsia="Times New Roman" w:hAnsi="Arial" w:cs="Arial"/>
                  <w:b/>
                  <w:noProof/>
                  <w:color w:val="6C6361"/>
                  <w:sz w:val="20"/>
                  <w:szCs w:val="20"/>
                  <w:u w:val="none"/>
                </w:rPr>
                <w:t>Contact Us</w:t>
              </w:r>
            </w:hyperlink>
          </w:p>
          <w:p w14:paraId="39A0A437" w14:textId="77777777" w:rsidR="00CD0F58" w:rsidRPr="003A2A4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CD0F58" w:rsidRPr="003A2A41" w:rsidRDefault="00CD0F58"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7"/>
      <w:footerReference w:type="default" r:id="rId18"/>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856A8" w14:textId="77777777" w:rsidR="00AC137C" w:rsidRDefault="00AC137C" w:rsidP="00546556">
      <w:r>
        <w:separator/>
      </w:r>
    </w:p>
  </w:endnote>
  <w:endnote w:type="continuationSeparator" w:id="0">
    <w:p w14:paraId="7692F18C" w14:textId="77777777" w:rsidR="00AC137C" w:rsidRDefault="00AC137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B6375" w14:textId="77777777" w:rsidR="00AC137C" w:rsidRDefault="00AC137C" w:rsidP="00546556">
      <w:r>
        <w:separator/>
      </w:r>
    </w:p>
  </w:footnote>
  <w:footnote w:type="continuationSeparator" w:id="0">
    <w:p w14:paraId="0CE08330" w14:textId="77777777" w:rsidR="00AC137C" w:rsidRDefault="00AC137C"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IxJDWBwZTkH0zCtjj4hE63hF8hiU7lIzJaAHFDB0CmQVi29nHWzEwOAmUwWCiajUXo1FXr4izMz32IMGTJEqkQ==" w:salt="GsIwnIseyZjFL4crSa5jg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16FD3"/>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56F6"/>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6C"/>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37C"/>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059"/>
    <w:rsid w:val="00CB4F68"/>
    <w:rsid w:val="00CB7205"/>
    <w:rsid w:val="00CC05DC"/>
    <w:rsid w:val="00CC2577"/>
    <w:rsid w:val="00CC35A7"/>
    <w:rsid w:val="00CC3EF8"/>
    <w:rsid w:val="00CC7B8F"/>
    <w:rsid w:val="00CC7D49"/>
    <w:rsid w:val="00CC7EC2"/>
    <w:rsid w:val="00CD0F58"/>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4CC1"/>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1E"/>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346/" TargetMode="External"/><Relationship Id="rId5" Type="http://schemas.openxmlformats.org/officeDocument/2006/relationships/webSettings" Target="webSettings.xml"/><Relationship Id="rId15" Type="http://schemas.openxmlformats.org/officeDocument/2006/relationships/hyperlink" Target="mailto:marketing@profectional.com"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pd.hk/evt000000368/" TargetMode="Externa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Should We Settle in Hong Kong or the Caribbean? A Comparison of Trust Law in Hong Kong and Special Trust Jurisdictions: Including Cayman Islands, British Virgin Islands, Seychelles and Singapore</vt:lpstr>
    </vt:vector>
  </TitlesOfParts>
  <Manager>Tyrone Tsang</Manager>
  <Company>The Profectional Company Limited</Company>
  <LinksUpToDate>false</LinksUpToDate>
  <CharactersWithSpaces>3255</CharactersWithSpaces>
  <SharedDoc>false</SharedDoc>
  <HyperlinkBase>http://download.profectional.com/events/EVT000000368.docx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Should We Settle in Hong Kong or the Caribbean? A Comparison of Trust Law in Hong Kong and Special Trust Jurisdictions: Including Cayman Islands, British Virgin Islands, Seychelles and Singapore</dc:title>
  <dc:subject>CPD Course: Should We Settle in Hong Kong or the Caribbean? A Comparison of Trust Law in Hong Kong and Special Trust Jurisdictions: Including Cayman Islands, British Virgin Islands, Seychelles and Singapore</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Tyrone Tsang</cp:lastModifiedBy>
  <cp:revision>58</cp:revision>
  <cp:lastPrinted>2020-09-23T08:22:00Z</cp:lastPrinted>
  <dcterms:created xsi:type="dcterms:W3CDTF">2017-01-12T02:41:00Z</dcterms:created>
  <dcterms:modified xsi:type="dcterms:W3CDTF">2022-10-07T11:24:00Z</dcterms:modified>
  <cp:category/>
</cp:coreProperties>
</file>