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7724B" w14:textId="77777777" w:rsidR="00AD5902" w:rsidRPr="00AD5902" w:rsidRDefault="00AD5902" w:rsidP="00AD5902">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AD5902" w:rsidRPr="00523A64" w14:paraId="21B6FC5B" w14:textId="77777777" w:rsidTr="007F52AE">
        <w:trPr>
          <w:trHeight w:val="3119"/>
          <w:jc w:val="center"/>
        </w:trPr>
        <w:tc>
          <w:tcPr>
            <w:tcW w:w="4820" w:type="dxa"/>
            <w:shd w:val="clear" w:color="auto" w:fill="FFFFFF"/>
            <w:vAlign w:val="center"/>
          </w:tcPr>
          <w:p w14:paraId="5E789C48" w14:textId="77777777" w:rsidR="00AD5902" w:rsidRPr="008259A9" w:rsidRDefault="00AD5902" w:rsidP="007F52AE">
            <w:pPr>
              <w:jc w:val="center"/>
              <w:rPr>
                <w:rFonts w:ascii="Arial" w:hAnsi="Arial" w:cs="Arial"/>
                <w:b/>
                <w:bCs/>
                <w:color w:val="524B48"/>
                <w:sz w:val="4"/>
                <w:szCs w:val="4"/>
              </w:rPr>
            </w:pPr>
          </w:p>
          <w:p w14:paraId="54106BB8" w14:textId="77777777" w:rsidR="00AD5902" w:rsidRPr="00032DE4" w:rsidRDefault="00AD5902" w:rsidP="007F52AE">
            <w:pPr>
              <w:jc w:val="center"/>
              <w:rPr>
                <w:rFonts w:ascii="Arial" w:hAnsi="Arial" w:cs="Arial"/>
                <w:b/>
                <w:bCs/>
                <w:color w:val="524B48"/>
                <w:sz w:val="32"/>
                <w:szCs w:val="32"/>
              </w:rPr>
            </w:pPr>
            <w:hyperlink r:id="rId8" w:history="1">
              <w:r w:rsidRPr="003A2EF1">
                <w:rPr>
                  <w:rStyle w:val="Hyperlink"/>
                  <w:rFonts w:ascii="Arial" w:hAnsi="Arial" w:cs="Arial" w:hint="eastAsia"/>
                  <w:b/>
                  <w:bCs/>
                  <w:color w:val="524B48"/>
                  <w:sz w:val="32"/>
                  <w:szCs w:val="32"/>
                  <w:u w:val="none"/>
                </w:rPr>
                <w:t>Adverse Possession:</w:t>
              </w:r>
              <w:r>
                <w:rPr>
                  <w:rStyle w:val="Hyperlink"/>
                  <w:rFonts w:ascii="Arial" w:hAnsi="Arial" w:cs="Arial"/>
                  <w:b/>
                  <w:bCs/>
                  <w:color w:val="524B48"/>
                  <w:sz w:val="32"/>
                  <w:szCs w:val="32"/>
                  <w:u w:val="none"/>
                </w:rPr>
                <w:br/>
              </w:r>
              <w:r w:rsidRPr="003A2EF1">
                <w:rPr>
                  <w:rStyle w:val="Hyperlink"/>
                  <w:rFonts w:ascii="Arial" w:hAnsi="Arial" w:cs="Arial" w:hint="eastAsia"/>
                  <w:b/>
                  <w:bCs/>
                  <w:color w:val="524B48"/>
                  <w:sz w:val="32"/>
                  <w:szCs w:val="32"/>
                  <w:u w:val="none"/>
                </w:rPr>
                <w:t>Practical Tips</w:t>
              </w:r>
              <w:r>
                <w:rPr>
                  <w:rStyle w:val="Hyperlink"/>
                  <w:rFonts w:ascii="Arial" w:hAnsi="Arial" w:cs="Arial"/>
                  <w:b/>
                  <w:bCs/>
                  <w:color w:val="524B48"/>
                  <w:sz w:val="32"/>
                  <w:szCs w:val="32"/>
                  <w:u w:val="none"/>
                </w:rPr>
                <w:t xml:space="preserve"> </w:t>
              </w:r>
              <w:r w:rsidRPr="003A2EF1">
                <w:rPr>
                  <w:rStyle w:val="Hyperlink"/>
                  <w:rFonts w:ascii="Arial" w:hAnsi="Arial" w:cs="Arial" w:hint="eastAsia"/>
                  <w:b/>
                  <w:bCs/>
                  <w:color w:val="524B48"/>
                  <w:sz w:val="32"/>
                  <w:szCs w:val="32"/>
                  <w:u w:val="none"/>
                </w:rPr>
                <w:t>&amp; Latest</w:t>
              </w:r>
              <w:r>
                <w:rPr>
                  <w:rStyle w:val="Hyperlink"/>
                  <w:rFonts w:ascii="Arial" w:hAnsi="Arial" w:cs="Arial"/>
                  <w:b/>
                  <w:bCs/>
                  <w:color w:val="524B48"/>
                  <w:sz w:val="32"/>
                  <w:szCs w:val="32"/>
                  <w:u w:val="none"/>
                </w:rPr>
                <w:br/>
              </w:r>
              <w:r w:rsidRPr="003A2EF1">
                <w:rPr>
                  <w:rStyle w:val="Hyperlink"/>
                  <w:rFonts w:ascii="Arial" w:hAnsi="Arial" w:cs="Arial" w:hint="eastAsia"/>
                  <w:b/>
                  <w:bCs/>
                  <w:color w:val="524B48"/>
                  <w:sz w:val="32"/>
                  <w:szCs w:val="32"/>
                  <w:u w:val="none"/>
                </w:rPr>
                <w:t>Legal Development</w:t>
              </w:r>
              <w:r>
                <w:rPr>
                  <w:rStyle w:val="Hyperlink"/>
                  <w:rFonts w:ascii="Arial" w:hAnsi="Arial" w:cs="Arial"/>
                  <w:b/>
                  <w:bCs/>
                  <w:color w:val="524B48"/>
                  <w:sz w:val="32"/>
                  <w:szCs w:val="32"/>
                  <w:u w:val="none"/>
                </w:rPr>
                <w:br/>
              </w:r>
              <w:r w:rsidRPr="003A2EF1">
                <w:rPr>
                  <w:rStyle w:val="Hyperlink"/>
                  <w:rFonts w:ascii="Arial" w:hAnsi="Arial" w:cs="Arial" w:hint="eastAsia"/>
                  <w:b/>
                  <w:bCs/>
                  <w:color w:val="524B48"/>
                  <w:sz w:val="32"/>
                  <w:szCs w:val="32"/>
                  <w:u w:val="none"/>
                </w:rPr>
                <w:t xml:space="preserve">(IO of Kam </w:t>
              </w:r>
              <w:proofErr w:type="spellStart"/>
              <w:r w:rsidRPr="003A2EF1">
                <w:rPr>
                  <w:rStyle w:val="Hyperlink"/>
                  <w:rFonts w:ascii="Arial" w:hAnsi="Arial" w:cs="Arial" w:hint="eastAsia"/>
                  <w:b/>
                  <w:bCs/>
                  <w:color w:val="524B48"/>
                  <w:sz w:val="32"/>
                  <w:szCs w:val="32"/>
                  <w:u w:val="none"/>
                </w:rPr>
                <w:t>Luk</w:t>
              </w:r>
              <w:proofErr w:type="spellEnd"/>
              <w:r w:rsidRPr="003A2EF1">
                <w:rPr>
                  <w:rStyle w:val="Hyperlink"/>
                  <w:rFonts w:ascii="Arial" w:hAnsi="Arial" w:cs="Arial" w:hint="eastAsia"/>
                  <w:b/>
                  <w:bCs/>
                  <w:color w:val="524B48"/>
                  <w:sz w:val="32"/>
                  <w:szCs w:val="32"/>
                  <w:u w:val="none"/>
                </w:rPr>
                <w:t xml:space="preserve"> Building</w:t>
              </w:r>
              <w:r>
                <w:rPr>
                  <w:rStyle w:val="Hyperlink"/>
                  <w:rFonts w:ascii="Arial" w:hAnsi="Arial" w:cs="Arial"/>
                  <w:b/>
                  <w:bCs/>
                  <w:color w:val="524B48"/>
                  <w:sz w:val="32"/>
                  <w:szCs w:val="32"/>
                  <w:u w:val="none"/>
                </w:rPr>
                <w:t xml:space="preserve"> </w:t>
              </w:r>
              <w:r w:rsidRPr="003A2EF1">
                <w:rPr>
                  <w:rStyle w:val="Hyperlink"/>
                  <w:rFonts w:ascii="Arial" w:hAnsi="Arial" w:cs="Arial" w:hint="eastAsia"/>
                  <w:b/>
                  <w:bCs/>
                  <w:color w:val="524B48"/>
                  <w:sz w:val="32"/>
                  <w:szCs w:val="32"/>
                  <w:u w:val="none"/>
                </w:rPr>
                <w:t>v.</w:t>
              </w:r>
              <w:r>
                <w:rPr>
                  <w:rStyle w:val="Hyperlink"/>
                  <w:rFonts w:ascii="Arial" w:hAnsi="Arial" w:cs="Arial"/>
                  <w:b/>
                  <w:bCs/>
                  <w:color w:val="524B48"/>
                  <w:sz w:val="32"/>
                  <w:szCs w:val="32"/>
                  <w:u w:val="none"/>
                </w:rPr>
                <w:br/>
              </w:r>
              <w:r w:rsidRPr="007D354D">
                <w:rPr>
                  <w:rStyle w:val="Hyperlink"/>
                  <w:rFonts w:ascii="Microsoft JhengHei UI" w:eastAsia="Microsoft JhengHei UI" w:hAnsi="Microsoft JhengHei UI" w:cs="Arial" w:hint="eastAsia"/>
                  <w:b/>
                  <w:bCs/>
                  <w:color w:val="524B48"/>
                  <w:sz w:val="32"/>
                  <w:szCs w:val="32"/>
                  <w:u w:val="none"/>
                </w:rPr>
                <w:t>吳靜燕</w:t>
              </w:r>
              <w:r>
                <w:rPr>
                  <w:rStyle w:val="Hyperlink"/>
                  <w:rFonts w:ascii="Microsoft JhengHei UI" w:eastAsia="SimSun" w:hAnsi="Microsoft JhengHei UI" w:cs="Arial" w:hint="eastAsia"/>
                  <w:b/>
                  <w:bCs/>
                  <w:color w:val="524B48"/>
                  <w:sz w:val="32"/>
                  <w:szCs w:val="32"/>
                  <w:u w:val="none"/>
                </w:rPr>
                <w:t xml:space="preserve"> </w:t>
              </w:r>
              <w:r w:rsidRPr="003A2EF1">
                <w:rPr>
                  <w:rStyle w:val="Hyperlink"/>
                  <w:rFonts w:ascii="Arial" w:hAnsi="Arial" w:cs="Arial" w:hint="eastAsia"/>
                  <w:b/>
                  <w:bCs/>
                  <w:color w:val="524B48"/>
                  <w:sz w:val="32"/>
                  <w:szCs w:val="32"/>
                  <w:u w:val="none"/>
                </w:rPr>
                <w:t>[2022] HKCA 1896)</w:t>
              </w:r>
            </w:hyperlink>
          </w:p>
          <w:p w14:paraId="15014B76" w14:textId="77777777" w:rsidR="00AD5902" w:rsidRPr="00731F7F" w:rsidRDefault="00AD5902" w:rsidP="007F52AE">
            <w:pPr>
              <w:jc w:val="center"/>
              <w:rPr>
                <w:rFonts w:ascii="Arial" w:hAnsi="Arial" w:cs="Arial"/>
                <w:b/>
                <w:bCs/>
                <w:sz w:val="24"/>
                <w:szCs w:val="28"/>
              </w:rPr>
            </w:pPr>
          </w:p>
          <w:p w14:paraId="6DB8AAA2" w14:textId="77777777" w:rsidR="00AD5902" w:rsidRPr="009D67FA" w:rsidRDefault="00AD5902" w:rsidP="007F52AE">
            <w:pPr>
              <w:jc w:val="center"/>
              <w:rPr>
                <w:rFonts w:ascii="Arial" w:hAnsi="Arial" w:cs="Arial"/>
                <w:i/>
                <w:color w:val="6C6361"/>
                <w:sz w:val="24"/>
                <w:szCs w:val="24"/>
              </w:rPr>
            </w:pPr>
            <w:r w:rsidRPr="009D67FA">
              <w:rPr>
                <w:rFonts w:ascii="Arial" w:hAnsi="Arial" w:cs="Arial"/>
                <w:i/>
                <w:color w:val="6C6361"/>
                <w:sz w:val="24"/>
                <w:szCs w:val="24"/>
              </w:rPr>
              <w:t>by</w:t>
            </w:r>
          </w:p>
          <w:p w14:paraId="6076EE9A" w14:textId="77777777" w:rsidR="00AD5902" w:rsidRDefault="00AD5902" w:rsidP="007F52AE">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M</w:t>
              </w:r>
              <w:r w:rsidRPr="00032DE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Dicky Cheung</w:t>
              </w:r>
            </w:hyperlink>
            <w:r>
              <w:rPr>
                <w:rFonts w:ascii="Arial" w:hAnsi="Arial" w:cs="Arial"/>
                <w:color w:val="6C6361"/>
                <w:sz w:val="24"/>
                <w:szCs w:val="24"/>
              </w:rPr>
              <w:t>,</w:t>
            </w:r>
          </w:p>
          <w:p w14:paraId="4DAC7D8F" w14:textId="77777777" w:rsidR="00AD5902" w:rsidRDefault="00AD5902" w:rsidP="007F52AE">
            <w:pPr>
              <w:jc w:val="center"/>
              <w:rPr>
                <w:rFonts w:ascii="Arial" w:hAnsi="Arial" w:cs="Arial"/>
                <w:color w:val="6C6361"/>
                <w:sz w:val="24"/>
                <w:szCs w:val="24"/>
              </w:rPr>
            </w:pPr>
            <w:r>
              <w:rPr>
                <w:rFonts w:ascii="Arial" w:hAnsi="Arial" w:cs="Arial"/>
                <w:color w:val="6C6361"/>
                <w:sz w:val="24"/>
                <w:szCs w:val="24"/>
              </w:rPr>
              <w:t>Barrister, Garden Chambers</w:t>
            </w:r>
          </w:p>
          <w:p w14:paraId="6D59BB33" w14:textId="77777777" w:rsidR="00AD5902" w:rsidRPr="00CD13F5" w:rsidRDefault="00AD5902" w:rsidP="007F52AE">
            <w:pPr>
              <w:rPr>
                <w:rFonts w:ascii="Arial" w:hAnsi="Arial" w:cs="Arial"/>
                <w:color w:val="6C6361"/>
                <w:sz w:val="4"/>
                <w:szCs w:val="4"/>
              </w:rPr>
            </w:pPr>
          </w:p>
        </w:tc>
        <w:tc>
          <w:tcPr>
            <w:tcW w:w="5954" w:type="dxa"/>
            <w:shd w:val="clear" w:color="auto" w:fill="FFFFFF"/>
            <w:vAlign w:val="center"/>
          </w:tcPr>
          <w:p w14:paraId="266F9515" w14:textId="77777777" w:rsidR="00AD5902" w:rsidRPr="00D50772" w:rsidRDefault="00AD5902" w:rsidP="007F52AE">
            <w:pPr>
              <w:spacing w:line="276" w:lineRule="auto"/>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22AC4702" wp14:editId="462CD16C">
                  <wp:simplePos x="0" y="0"/>
                  <wp:positionH relativeFrom="column">
                    <wp:posOffset>3172460</wp:posOffset>
                  </wp:positionH>
                  <wp:positionV relativeFrom="paragraph">
                    <wp:posOffset>-99060</wp:posOffset>
                  </wp:positionV>
                  <wp:extent cx="539750" cy="539750"/>
                  <wp:effectExtent l="0" t="0" r="6350" b="6350"/>
                  <wp:wrapNone/>
                  <wp:docPr id="12" name="Graphic 1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8"/>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06AF0D4" wp14:editId="61A5D1A0">
                  <wp:extent cx="3657600" cy="1828800"/>
                  <wp:effectExtent l="0" t="0" r="0" b="0"/>
                  <wp:docPr id="10"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3FBEB9B" w14:textId="77777777" w:rsidR="00AD5902" w:rsidRPr="00780774" w:rsidRDefault="00AD5902" w:rsidP="00AD5902">
      <w:pPr>
        <w:spacing w:line="276" w:lineRule="auto"/>
        <w:jc w:val="left"/>
        <w:rPr>
          <w:rFonts w:ascii="Arial" w:hAnsi="Arial" w:cs="Arial"/>
          <w:sz w:val="20"/>
          <w:szCs w:val="24"/>
        </w:rPr>
      </w:pPr>
    </w:p>
    <w:tbl>
      <w:tblPr>
        <w:tblW w:w="10773" w:type="dxa"/>
        <w:jc w:val="center"/>
        <w:tblLook w:val="04A0" w:firstRow="1" w:lastRow="0" w:firstColumn="1" w:lastColumn="0" w:noHBand="0" w:noVBand="1"/>
      </w:tblPr>
      <w:tblGrid>
        <w:gridCol w:w="1985"/>
        <w:gridCol w:w="8788"/>
      </w:tblGrid>
      <w:tr w:rsidR="00AD5902" w:rsidRPr="00780774" w14:paraId="3B4D6F68" w14:textId="77777777" w:rsidTr="007F52AE">
        <w:trPr>
          <w:trHeight w:val="3721"/>
          <w:jc w:val="center"/>
        </w:trPr>
        <w:tc>
          <w:tcPr>
            <w:tcW w:w="1985" w:type="dxa"/>
            <w:shd w:val="clear" w:color="auto" w:fill="FFFFFF"/>
            <w:vAlign w:val="center"/>
          </w:tcPr>
          <w:p w14:paraId="728A43CA" w14:textId="77777777" w:rsidR="00AD5902" w:rsidRPr="00780774" w:rsidRDefault="00AD5902" w:rsidP="007F52AE">
            <w:pPr>
              <w:spacing w:line="276" w:lineRule="auto"/>
              <w:jc w:val="center"/>
              <w:rPr>
                <w:rFonts w:ascii="Arial" w:hAnsi="Arial" w:cs="Arial"/>
                <w:sz w:val="24"/>
              </w:rPr>
            </w:pPr>
            <w:r w:rsidRPr="00780774">
              <w:rPr>
                <w:rFonts w:ascii="Arial" w:hAnsi="Arial" w:cs="Arial"/>
                <w:noProof/>
                <w:sz w:val="24"/>
              </w:rPr>
              <w:drawing>
                <wp:inline distT="0" distB="0" distL="0" distR="0" wp14:anchorId="3167D472" wp14:editId="774DF3C6">
                  <wp:extent cx="1078704" cy="1438273"/>
                  <wp:effectExtent l="0" t="0" r="7620" b="0"/>
                  <wp:docPr id="3"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D579C36" w14:textId="77777777" w:rsidR="00AD5902" w:rsidRPr="00780774" w:rsidRDefault="00AD5902" w:rsidP="007F52AE">
            <w:pPr>
              <w:rPr>
                <w:rFonts w:ascii="Arial" w:hAnsi="Arial" w:cs="Arial"/>
                <w:color w:val="6C6361"/>
                <w:sz w:val="24"/>
              </w:rPr>
            </w:pPr>
            <w:r w:rsidRPr="00780774">
              <w:rPr>
                <w:rFonts w:ascii="Arial" w:hAnsi="Arial" w:cs="Arial"/>
                <w:color w:val="6C6361"/>
                <w:sz w:val="24"/>
              </w:rPr>
              <w:t>Mr. Dicky Cheung read law at the University of Hong Kong and was called to the bar in 2017.  He joined Garden Chambers in the following year.</w:t>
            </w:r>
          </w:p>
          <w:p w14:paraId="651098F5" w14:textId="77777777" w:rsidR="00AD5902" w:rsidRPr="00780774" w:rsidRDefault="00AD5902" w:rsidP="007F52AE">
            <w:pPr>
              <w:rPr>
                <w:rFonts w:ascii="Arial" w:hAnsi="Arial" w:cs="Arial"/>
                <w:color w:val="6C6361"/>
                <w:sz w:val="12"/>
                <w:szCs w:val="10"/>
              </w:rPr>
            </w:pPr>
          </w:p>
          <w:p w14:paraId="48C8EAEF" w14:textId="77777777" w:rsidR="00AD5902" w:rsidRPr="00780774" w:rsidRDefault="00AD5902" w:rsidP="007F52AE">
            <w:pPr>
              <w:rPr>
                <w:rFonts w:ascii="Arial" w:hAnsi="Arial" w:cs="Arial"/>
                <w:color w:val="6C6361"/>
                <w:sz w:val="24"/>
              </w:rPr>
            </w:pPr>
            <w:r w:rsidRPr="00780774">
              <w:rPr>
                <w:rFonts w:ascii="Arial" w:hAnsi="Arial" w:cs="Arial"/>
                <w:color w:val="6C6361"/>
                <w:sz w:val="24"/>
              </w:rPr>
              <w:t>His practice is focused on commercial, company and contractual litigation.  He has represented listed companies, state-owned banks (overseas and PRC), and high net worth individuals in handling complex commercial, corporate and civil litigation with securities, trusts and probate at issues, involving overseas parties and complicated transactions.</w:t>
            </w:r>
          </w:p>
          <w:p w14:paraId="5EE9BD4C" w14:textId="77777777" w:rsidR="00AD5902" w:rsidRPr="00780774" w:rsidRDefault="00AD5902" w:rsidP="007F52AE">
            <w:pPr>
              <w:rPr>
                <w:rFonts w:ascii="Arial" w:hAnsi="Arial" w:cs="Arial"/>
                <w:color w:val="6C6361"/>
                <w:sz w:val="12"/>
                <w:szCs w:val="10"/>
              </w:rPr>
            </w:pPr>
          </w:p>
          <w:p w14:paraId="480FEAB8" w14:textId="77777777" w:rsidR="00AD5902" w:rsidRPr="00780774" w:rsidRDefault="00AD5902" w:rsidP="007F52AE">
            <w:pPr>
              <w:rPr>
                <w:rFonts w:ascii="Arial" w:hAnsi="Arial" w:cs="Arial"/>
                <w:color w:val="6C6361"/>
                <w:sz w:val="24"/>
              </w:rPr>
            </w:pPr>
            <w:r w:rsidRPr="00780774">
              <w:rPr>
                <w:rFonts w:ascii="Arial" w:hAnsi="Arial" w:cs="Arial"/>
                <w:color w:val="6C6361"/>
                <w:sz w:val="24"/>
              </w:rPr>
              <w:t>Dicky also frequently represents professionals, including insurance agents, estate agents, optometrists etc., in disciplinary proceedings, and their appeal and judicial review proceedings.</w:t>
            </w:r>
          </w:p>
          <w:p w14:paraId="25AC7414" w14:textId="77777777" w:rsidR="00AD5902" w:rsidRPr="00780774" w:rsidRDefault="00AD5902" w:rsidP="007F52AE">
            <w:pPr>
              <w:rPr>
                <w:rFonts w:ascii="Arial" w:hAnsi="Arial" w:cs="Arial"/>
                <w:color w:val="6C6361"/>
                <w:sz w:val="12"/>
                <w:szCs w:val="10"/>
              </w:rPr>
            </w:pPr>
          </w:p>
          <w:p w14:paraId="63EDF7EF" w14:textId="77777777" w:rsidR="00AD5902" w:rsidRPr="00780774" w:rsidRDefault="00AD5902" w:rsidP="007F52AE">
            <w:pPr>
              <w:rPr>
                <w:rFonts w:ascii="Arial" w:hAnsi="Arial" w:cs="Arial"/>
                <w:color w:val="6C6361"/>
                <w:sz w:val="24"/>
              </w:rPr>
            </w:pPr>
            <w:r w:rsidRPr="00780774">
              <w:rPr>
                <w:rFonts w:ascii="Arial" w:hAnsi="Arial" w:cs="Arial"/>
                <w:color w:val="6C6361"/>
                <w:sz w:val="24"/>
              </w:rPr>
              <w:t>Dicky is fluent in Putonghua and regularly handles PRC-related cases and parties.</w:t>
            </w:r>
          </w:p>
        </w:tc>
      </w:tr>
    </w:tbl>
    <w:p w14:paraId="24B7AB9F" w14:textId="77777777" w:rsidR="00AD5902" w:rsidRDefault="00AD5902" w:rsidP="00AD5902">
      <w:pPr>
        <w:spacing w:line="276" w:lineRule="auto"/>
        <w:jc w:val="left"/>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10773"/>
      </w:tblGrid>
      <w:tr w:rsidR="00AD5902" w:rsidRPr="00780774" w14:paraId="44B1BE7D" w14:textId="77777777" w:rsidTr="007F52AE">
        <w:trPr>
          <w:trHeight w:val="4841"/>
          <w:jc w:val="center"/>
        </w:trPr>
        <w:tc>
          <w:tcPr>
            <w:tcW w:w="10773" w:type="dxa"/>
            <w:tcBorders>
              <w:top w:val="nil"/>
              <w:bottom w:val="nil"/>
            </w:tcBorders>
            <w:shd w:val="clear" w:color="auto" w:fill="FFFFFF" w:themeFill="background1"/>
            <w:vAlign w:val="center"/>
          </w:tcPr>
          <w:p w14:paraId="353FA723" w14:textId="77777777" w:rsidR="00AD5902" w:rsidRPr="00780774" w:rsidRDefault="00AD5902" w:rsidP="007F52AE">
            <w:pPr>
              <w:spacing w:line="276" w:lineRule="auto"/>
              <w:rPr>
                <w:rFonts w:ascii="Arial" w:hAnsi="Arial" w:cs="Arial"/>
                <w:color w:val="6C6361"/>
                <w:sz w:val="24"/>
                <w:szCs w:val="24"/>
              </w:rPr>
            </w:pPr>
            <w:r w:rsidRPr="00780774">
              <w:rPr>
                <w:rFonts w:ascii="Arial" w:hAnsi="Arial" w:cs="Arial" w:hint="eastAsia"/>
                <w:color w:val="6C6361"/>
                <w:sz w:val="24"/>
                <w:szCs w:val="24"/>
              </w:rPr>
              <w:t xml:space="preserve">The Speaker acted for the successful appellant (the Incorporated Owners of a building) in its appeal, IO of Kam </w:t>
            </w:r>
            <w:proofErr w:type="spellStart"/>
            <w:r w:rsidRPr="00780774">
              <w:rPr>
                <w:rFonts w:ascii="Arial" w:hAnsi="Arial" w:cs="Arial" w:hint="eastAsia"/>
                <w:color w:val="6C6361"/>
                <w:sz w:val="24"/>
                <w:szCs w:val="24"/>
              </w:rPr>
              <w:t>Luk</w:t>
            </w:r>
            <w:proofErr w:type="spellEnd"/>
            <w:r w:rsidRPr="00780774">
              <w:rPr>
                <w:rFonts w:ascii="Arial" w:hAnsi="Arial" w:cs="Arial" w:hint="eastAsia"/>
                <w:color w:val="6C6361"/>
                <w:sz w:val="24"/>
                <w:szCs w:val="24"/>
              </w:rPr>
              <w:t xml:space="preserve"> Building v. </w:t>
            </w:r>
            <w:r w:rsidRPr="00780774">
              <w:rPr>
                <w:rFonts w:ascii="Microsoft JhengHei UI" w:eastAsia="Microsoft JhengHei UI" w:hAnsi="Microsoft JhengHei UI" w:cs="Arial" w:hint="eastAsia"/>
                <w:color w:val="6C6361"/>
                <w:sz w:val="24"/>
                <w:szCs w:val="24"/>
              </w:rPr>
              <w:t>吳靜燕</w:t>
            </w:r>
            <w:r w:rsidRPr="00780774">
              <w:rPr>
                <w:rFonts w:ascii="Arial" w:hAnsi="Arial" w:cs="Arial" w:hint="eastAsia"/>
                <w:color w:val="6C6361"/>
                <w:sz w:val="24"/>
                <w:szCs w:val="24"/>
              </w:rPr>
              <w:t xml:space="preserve"> [2022] HKCA 1896, against a trial judge</w:t>
            </w:r>
            <w:r>
              <w:rPr>
                <w:rFonts w:ascii="Arial" w:eastAsia="SimSun" w:hAnsi="Arial" w:cs="Arial"/>
                <w:color w:val="6C6361"/>
                <w:sz w:val="24"/>
                <w:szCs w:val="24"/>
              </w:rPr>
              <w:t>’</w:t>
            </w:r>
            <w:r w:rsidRPr="00780774">
              <w:rPr>
                <w:rFonts w:ascii="Arial" w:hAnsi="Arial" w:cs="Arial" w:hint="eastAsia"/>
                <w:color w:val="6C6361"/>
                <w:sz w:val="24"/>
                <w:szCs w:val="24"/>
              </w:rPr>
              <w:t xml:space="preserve">s refusal to order vacant possession for a part of staircase (being common parts of </w:t>
            </w:r>
            <w:r w:rsidRPr="00780774">
              <w:rPr>
                <w:rFonts w:ascii="Arial" w:hAnsi="Arial" w:cs="Arial"/>
                <w:color w:val="6C6361"/>
                <w:sz w:val="24"/>
                <w:szCs w:val="24"/>
              </w:rPr>
              <w:t>the building) occupied by a squatter.</w:t>
            </w:r>
            <w:r>
              <w:rPr>
                <w:rFonts w:ascii="Arial" w:hAnsi="Arial" w:cs="Arial"/>
                <w:color w:val="6C6361"/>
                <w:sz w:val="24"/>
                <w:szCs w:val="24"/>
              </w:rPr>
              <w:t xml:space="preserve">  </w:t>
            </w:r>
            <w:r w:rsidRPr="00780774">
              <w:rPr>
                <w:rFonts w:ascii="Arial" w:hAnsi="Arial" w:cs="Arial"/>
                <w:color w:val="6C6361"/>
                <w:sz w:val="24"/>
                <w:szCs w:val="24"/>
              </w:rPr>
              <w:t>This case turns onto intriguing issues of law such as:</w:t>
            </w:r>
          </w:p>
          <w:p w14:paraId="65FBC247" w14:textId="77777777" w:rsidR="00AD5902" w:rsidRPr="00780774" w:rsidRDefault="00AD5902" w:rsidP="007F52AE">
            <w:pPr>
              <w:spacing w:line="276" w:lineRule="auto"/>
              <w:rPr>
                <w:rFonts w:ascii="Arial" w:hAnsi="Arial" w:cs="Arial"/>
                <w:color w:val="6C6361"/>
                <w:sz w:val="12"/>
                <w:szCs w:val="12"/>
              </w:rPr>
            </w:pPr>
          </w:p>
          <w:p w14:paraId="06591276" w14:textId="77777777" w:rsidR="00AD5902" w:rsidRPr="00780774" w:rsidRDefault="00AD5902" w:rsidP="00AD5902">
            <w:pPr>
              <w:pStyle w:val="ListParagraph"/>
              <w:numPr>
                <w:ilvl w:val="0"/>
                <w:numId w:val="18"/>
              </w:numPr>
              <w:spacing w:line="276" w:lineRule="auto"/>
              <w:ind w:left="316" w:hanging="284"/>
              <w:rPr>
                <w:rFonts w:ascii="Arial" w:hAnsi="Arial" w:cs="Arial"/>
                <w:color w:val="6C6361"/>
                <w:sz w:val="24"/>
                <w:szCs w:val="24"/>
              </w:rPr>
            </w:pPr>
            <w:r w:rsidRPr="00780774">
              <w:rPr>
                <w:rFonts w:ascii="Arial" w:hAnsi="Arial" w:cs="Arial"/>
                <w:color w:val="6C6361"/>
                <w:sz w:val="24"/>
                <w:szCs w:val="24"/>
              </w:rPr>
              <w:t xml:space="preserve">What if the squatter occupied the common parts on the strength of a </w:t>
            </w:r>
            <w:proofErr w:type="spellStart"/>
            <w:r w:rsidRPr="00780774">
              <w:rPr>
                <w:rFonts w:ascii="Arial" w:hAnsi="Arial" w:cs="Arial"/>
                <w:color w:val="6C6361"/>
                <w:sz w:val="24"/>
                <w:szCs w:val="24"/>
              </w:rPr>
              <w:t>licence</w:t>
            </w:r>
            <w:proofErr w:type="spellEnd"/>
            <w:r w:rsidRPr="00780774">
              <w:rPr>
                <w:rFonts w:ascii="Arial" w:hAnsi="Arial" w:cs="Arial"/>
                <w:color w:val="6C6361"/>
                <w:sz w:val="24"/>
                <w:szCs w:val="24"/>
              </w:rPr>
              <w:t xml:space="preserve"> given by a director of the first owners?</w:t>
            </w:r>
          </w:p>
          <w:p w14:paraId="2225E53A" w14:textId="77777777" w:rsidR="00AD5902" w:rsidRPr="00780774" w:rsidRDefault="00AD5902" w:rsidP="00AD5902">
            <w:pPr>
              <w:pStyle w:val="ListParagraph"/>
              <w:numPr>
                <w:ilvl w:val="0"/>
                <w:numId w:val="18"/>
              </w:numPr>
              <w:spacing w:line="276" w:lineRule="auto"/>
              <w:ind w:left="316" w:hanging="284"/>
              <w:rPr>
                <w:rFonts w:ascii="Arial" w:hAnsi="Arial" w:cs="Arial"/>
                <w:color w:val="6C6361"/>
                <w:sz w:val="24"/>
                <w:szCs w:val="24"/>
              </w:rPr>
            </w:pPr>
            <w:r w:rsidRPr="00780774">
              <w:rPr>
                <w:rFonts w:ascii="Arial" w:hAnsi="Arial" w:cs="Arial"/>
                <w:color w:val="6C6361"/>
                <w:sz w:val="24"/>
                <w:szCs w:val="24"/>
              </w:rPr>
              <w:t xml:space="preserve">What if the person giving the </w:t>
            </w:r>
            <w:proofErr w:type="spellStart"/>
            <w:r w:rsidRPr="00780774">
              <w:rPr>
                <w:rFonts w:ascii="Arial" w:hAnsi="Arial" w:cs="Arial"/>
                <w:color w:val="6C6361"/>
                <w:sz w:val="24"/>
                <w:szCs w:val="24"/>
              </w:rPr>
              <w:t>licence</w:t>
            </w:r>
            <w:proofErr w:type="spellEnd"/>
            <w:r w:rsidRPr="00780774">
              <w:rPr>
                <w:rFonts w:ascii="Arial" w:hAnsi="Arial" w:cs="Arial"/>
                <w:color w:val="6C6361"/>
                <w:sz w:val="24"/>
                <w:szCs w:val="24"/>
              </w:rPr>
              <w:t xml:space="preserve"> actually had no authority or capacity to do so? Does it alter the intention and adversity of the possession of the squatter?</w:t>
            </w:r>
          </w:p>
          <w:p w14:paraId="22D7A9EE" w14:textId="77777777" w:rsidR="00AD5902" w:rsidRPr="00780774" w:rsidRDefault="00AD5902" w:rsidP="00AD5902">
            <w:pPr>
              <w:pStyle w:val="ListParagraph"/>
              <w:numPr>
                <w:ilvl w:val="0"/>
                <w:numId w:val="18"/>
              </w:numPr>
              <w:spacing w:line="276" w:lineRule="auto"/>
              <w:ind w:left="316" w:hanging="284"/>
              <w:rPr>
                <w:rFonts w:ascii="Arial" w:hAnsi="Arial" w:cs="Arial"/>
                <w:color w:val="6C6361"/>
                <w:sz w:val="24"/>
                <w:szCs w:val="24"/>
              </w:rPr>
            </w:pPr>
            <w:r w:rsidRPr="00780774">
              <w:rPr>
                <w:rFonts w:ascii="Arial" w:hAnsi="Arial" w:cs="Arial"/>
                <w:color w:val="6C6361"/>
                <w:sz w:val="24"/>
                <w:szCs w:val="24"/>
              </w:rPr>
              <w:t>What if the squatter is a co-owner of the building? Can he adversely possess common parts to which he also owns?</w:t>
            </w:r>
          </w:p>
          <w:p w14:paraId="469ECA5B" w14:textId="77777777" w:rsidR="00AD5902" w:rsidRPr="00780774" w:rsidRDefault="00AD5902" w:rsidP="007F52AE">
            <w:pPr>
              <w:spacing w:line="276" w:lineRule="auto"/>
              <w:rPr>
                <w:rFonts w:ascii="Arial" w:hAnsi="Arial" w:cs="Arial"/>
                <w:color w:val="6C6361"/>
                <w:sz w:val="12"/>
                <w:szCs w:val="12"/>
              </w:rPr>
            </w:pPr>
            <w:r w:rsidRPr="00780774">
              <w:rPr>
                <w:rFonts w:ascii="Arial" w:hAnsi="Arial" w:cs="Arial"/>
                <w:color w:val="6C6361"/>
                <w:sz w:val="24"/>
                <w:szCs w:val="24"/>
              </w:rPr>
              <w:t xml:space="preserve"> </w:t>
            </w:r>
          </w:p>
          <w:p w14:paraId="54C5D60E" w14:textId="77777777" w:rsidR="00AD5902" w:rsidRPr="00780774" w:rsidRDefault="00AD5902" w:rsidP="007F52AE">
            <w:pPr>
              <w:spacing w:line="276" w:lineRule="auto"/>
              <w:rPr>
                <w:rFonts w:ascii="Arial" w:hAnsi="Arial" w:cs="Arial"/>
                <w:color w:val="6C6361"/>
                <w:sz w:val="24"/>
                <w:szCs w:val="24"/>
              </w:rPr>
            </w:pPr>
            <w:r w:rsidRPr="00780774">
              <w:rPr>
                <w:rFonts w:ascii="Arial" w:hAnsi="Arial" w:cs="Arial"/>
                <w:color w:val="6C6361"/>
                <w:sz w:val="24"/>
                <w:szCs w:val="24"/>
              </w:rPr>
              <w:t>The Court of Appeal allowed the appeal on points of law which are of general importance and also, quite rarely, on facts.  The Speaker will share his insight and experience in the trial and subsequently successful appeal.</w:t>
            </w:r>
          </w:p>
        </w:tc>
      </w:tr>
    </w:tbl>
    <w:p w14:paraId="71E58E5C" w14:textId="77777777" w:rsidR="00AD5902" w:rsidRDefault="00AD5902" w:rsidP="00AD5902">
      <w:pPr>
        <w:spacing w:line="276" w:lineRule="auto"/>
        <w:jc w:val="left"/>
        <w:rPr>
          <w:rFonts w:ascii="Arial" w:hAnsi="Arial" w:cs="Arial"/>
          <w:sz w:val="20"/>
          <w:szCs w:val="28"/>
        </w:rPr>
      </w:pPr>
    </w:p>
    <w:p w14:paraId="0E934E2B" w14:textId="77777777" w:rsidR="00AD5902" w:rsidRDefault="00AD5902" w:rsidP="00AD5902">
      <w:pPr>
        <w:spacing w:line="276" w:lineRule="auto"/>
        <w:jc w:val="left"/>
        <w:rPr>
          <w:rFonts w:ascii="Arial" w:hAnsi="Arial" w:cs="Arial"/>
          <w:sz w:val="20"/>
          <w:szCs w:val="28"/>
        </w:rPr>
      </w:pPr>
    </w:p>
    <w:p w14:paraId="442A8D14" w14:textId="77777777" w:rsidR="00AD5902" w:rsidRDefault="00AD5902" w:rsidP="00AD5902">
      <w:pPr>
        <w:spacing w:line="276" w:lineRule="auto"/>
        <w:jc w:val="left"/>
        <w:rPr>
          <w:rFonts w:ascii="Arial" w:hAnsi="Arial" w:cs="Arial"/>
          <w:sz w:val="20"/>
          <w:szCs w:val="28"/>
        </w:rPr>
      </w:pPr>
    </w:p>
    <w:p w14:paraId="2F7320B8" w14:textId="77777777" w:rsidR="00AD5902" w:rsidRDefault="00AD5902" w:rsidP="00AD5902">
      <w:pPr>
        <w:spacing w:line="276" w:lineRule="auto"/>
        <w:jc w:val="left"/>
        <w:rPr>
          <w:rFonts w:ascii="Arial" w:hAnsi="Arial" w:cs="Arial"/>
          <w:sz w:val="20"/>
          <w:szCs w:val="28"/>
        </w:rPr>
      </w:pPr>
    </w:p>
    <w:p w14:paraId="14535BC1" w14:textId="77777777" w:rsidR="00AD5902" w:rsidRDefault="00AD5902" w:rsidP="00AD5902">
      <w:pPr>
        <w:spacing w:line="276" w:lineRule="auto"/>
        <w:jc w:val="left"/>
        <w:rPr>
          <w:rFonts w:ascii="Arial" w:hAnsi="Arial" w:cs="Arial"/>
          <w:sz w:val="20"/>
          <w:szCs w:val="28"/>
        </w:rPr>
      </w:pPr>
    </w:p>
    <w:p w14:paraId="5CF3C5AA" w14:textId="77777777" w:rsidR="00AD5902" w:rsidRPr="00780774" w:rsidRDefault="00AD5902" w:rsidP="00AD5902">
      <w:pPr>
        <w:spacing w:line="276" w:lineRule="auto"/>
        <w:jc w:val="left"/>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9021"/>
        <w:gridCol w:w="1752"/>
      </w:tblGrid>
      <w:tr w:rsidR="00AD5902" w:rsidRPr="00780774" w14:paraId="1B6E82C2" w14:textId="77777777" w:rsidTr="007F52AE">
        <w:trPr>
          <w:trHeight w:val="397"/>
          <w:jc w:val="center"/>
        </w:trPr>
        <w:tc>
          <w:tcPr>
            <w:tcW w:w="10773" w:type="dxa"/>
            <w:gridSpan w:val="2"/>
            <w:tcBorders>
              <w:top w:val="nil"/>
              <w:bottom w:val="nil"/>
            </w:tcBorders>
            <w:shd w:val="clear" w:color="auto" w:fill="F0EBE1"/>
            <w:vAlign w:val="center"/>
          </w:tcPr>
          <w:p w14:paraId="0EF300B3" w14:textId="77777777" w:rsidR="00AD5902" w:rsidRPr="00780774" w:rsidRDefault="00AD5902" w:rsidP="007F52AE">
            <w:pPr>
              <w:jc w:val="left"/>
              <w:rPr>
                <w:rFonts w:ascii="Arial" w:hAnsi="Arial" w:cs="Arial"/>
                <w:b/>
                <w:color w:val="524B48"/>
                <w:sz w:val="24"/>
                <w:szCs w:val="24"/>
              </w:rPr>
            </w:pPr>
            <w:r w:rsidRPr="00780774">
              <w:rPr>
                <w:rFonts w:ascii="Arial" w:hAnsi="Arial" w:cs="Arial"/>
                <w:b/>
                <w:color w:val="524B48"/>
                <w:sz w:val="24"/>
                <w:szCs w:val="24"/>
              </w:rPr>
              <w:lastRenderedPageBreak/>
              <w:t>The Speaker will also give out practical tips for practitioners, in particular:</w:t>
            </w:r>
          </w:p>
        </w:tc>
      </w:tr>
      <w:tr w:rsidR="00AD5902" w:rsidRPr="00780774" w14:paraId="5C2F6E6E" w14:textId="77777777" w:rsidTr="007F52AE">
        <w:trPr>
          <w:trHeight w:val="4414"/>
          <w:jc w:val="center"/>
        </w:trPr>
        <w:tc>
          <w:tcPr>
            <w:tcW w:w="9021" w:type="dxa"/>
            <w:tcBorders>
              <w:top w:val="nil"/>
              <w:bottom w:val="nil"/>
              <w:right w:val="nil"/>
            </w:tcBorders>
            <w:shd w:val="clear" w:color="auto" w:fill="FFFFFF"/>
            <w:vAlign w:val="center"/>
          </w:tcPr>
          <w:p w14:paraId="799B1B00"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The statutory origin and elements of adverse possession</w:t>
            </w:r>
          </w:p>
          <w:p w14:paraId="4E67B6A0"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Pre-action consideration &amp; case preparation</w:t>
            </w:r>
          </w:p>
          <w:p w14:paraId="7BD5FA0E"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Evidence (incl. expert evidence)</w:t>
            </w:r>
          </w:p>
          <w:p w14:paraId="5AE6D46F"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Expedited procedure (O. 113, RHC)</w:t>
            </w:r>
          </w:p>
          <w:p w14:paraId="64708F26"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 xml:space="preserve">Equitable </w:t>
            </w:r>
            <w:proofErr w:type="spellStart"/>
            <w:r w:rsidRPr="00780774">
              <w:rPr>
                <w:rFonts w:ascii="Arial" w:hAnsi="Arial" w:cs="Arial"/>
                <w:color w:val="6C6361"/>
                <w:sz w:val="24"/>
                <w:szCs w:val="24"/>
              </w:rPr>
              <w:t>defences</w:t>
            </w:r>
            <w:proofErr w:type="spellEnd"/>
            <w:r w:rsidRPr="00780774">
              <w:rPr>
                <w:rFonts w:ascii="Arial" w:hAnsi="Arial" w:cs="Arial"/>
                <w:color w:val="6C6361"/>
                <w:sz w:val="24"/>
                <w:szCs w:val="24"/>
              </w:rPr>
              <w:t xml:space="preserve"> of laches, acquiescence &amp; estoppel</w:t>
            </w:r>
          </w:p>
          <w:p w14:paraId="4D308310"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Special cases</w:t>
            </w:r>
          </w:p>
          <w:p w14:paraId="5920E9FB"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proofErr w:type="spellStart"/>
            <w:r w:rsidRPr="00780774">
              <w:rPr>
                <w:rFonts w:ascii="Arial" w:hAnsi="Arial" w:cs="Arial"/>
                <w:color w:val="6C6361"/>
                <w:sz w:val="24"/>
                <w:szCs w:val="24"/>
              </w:rPr>
              <w:t>Licence</w:t>
            </w:r>
            <w:proofErr w:type="spellEnd"/>
            <w:r w:rsidRPr="00780774">
              <w:rPr>
                <w:rFonts w:ascii="Arial" w:hAnsi="Arial" w:cs="Arial"/>
                <w:color w:val="6C6361"/>
                <w:sz w:val="24"/>
                <w:szCs w:val="24"/>
              </w:rPr>
              <w:t xml:space="preserve"> not granted by capable grantor</w:t>
            </w:r>
          </w:p>
          <w:p w14:paraId="5EBD34F9"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r w:rsidRPr="00780774">
              <w:rPr>
                <w:rFonts w:ascii="Arial" w:hAnsi="Arial" w:cs="Arial"/>
                <w:color w:val="6C6361"/>
                <w:sz w:val="24"/>
                <w:szCs w:val="24"/>
              </w:rPr>
              <w:t xml:space="preserve">Valid </w:t>
            </w:r>
            <w:proofErr w:type="spellStart"/>
            <w:r w:rsidRPr="00780774">
              <w:rPr>
                <w:rFonts w:ascii="Arial" w:hAnsi="Arial" w:cs="Arial"/>
                <w:color w:val="6C6361"/>
                <w:sz w:val="24"/>
                <w:szCs w:val="24"/>
              </w:rPr>
              <w:t>licence</w:t>
            </w:r>
            <w:proofErr w:type="spellEnd"/>
            <w:r w:rsidRPr="00780774">
              <w:rPr>
                <w:rFonts w:ascii="Arial" w:hAnsi="Arial" w:cs="Arial"/>
                <w:color w:val="6C6361"/>
                <w:sz w:val="24"/>
                <w:szCs w:val="24"/>
              </w:rPr>
              <w:t xml:space="preserve"> at first, but later revoked</w:t>
            </w:r>
          </w:p>
          <w:p w14:paraId="1BA618CA"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r w:rsidRPr="00780774">
              <w:rPr>
                <w:rFonts w:ascii="Arial" w:hAnsi="Arial" w:cs="Arial"/>
                <w:color w:val="6C6361"/>
                <w:sz w:val="24"/>
                <w:szCs w:val="24"/>
              </w:rPr>
              <w:t>Squatter granted a lease to a tenant</w:t>
            </w:r>
          </w:p>
          <w:p w14:paraId="4E11B92D"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r w:rsidRPr="00780774">
              <w:rPr>
                <w:rFonts w:ascii="Arial" w:hAnsi="Arial" w:cs="Arial"/>
                <w:color w:val="6C6361"/>
                <w:sz w:val="24"/>
                <w:szCs w:val="24"/>
              </w:rPr>
              <w:t>Multistory building (common parts) by co-owner</w:t>
            </w:r>
          </w:p>
          <w:p w14:paraId="18F9CB3E"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r w:rsidRPr="00780774">
              <w:rPr>
                <w:rFonts w:ascii="Arial" w:hAnsi="Arial" w:cs="Arial"/>
                <w:color w:val="6C6361"/>
                <w:sz w:val="24"/>
                <w:szCs w:val="24"/>
              </w:rPr>
              <w:t>Vertical surface</w:t>
            </w:r>
          </w:p>
          <w:p w14:paraId="41F6BF79" w14:textId="77777777" w:rsidR="00AD5902" w:rsidRPr="00780774" w:rsidRDefault="00AD5902" w:rsidP="007F52AE">
            <w:pPr>
              <w:pStyle w:val="ListParagraph"/>
              <w:numPr>
                <w:ilvl w:val="1"/>
                <w:numId w:val="2"/>
              </w:numPr>
              <w:spacing w:line="276" w:lineRule="auto"/>
              <w:rPr>
                <w:rFonts w:ascii="Arial" w:hAnsi="Arial" w:cs="Arial"/>
                <w:color w:val="6C6361"/>
                <w:sz w:val="24"/>
                <w:szCs w:val="24"/>
              </w:rPr>
            </w:pPr>
            <w:proofErr w:type="spellStart"/>
            <w:r w:rsidRPr="00780774">
              <w:rPr>
                <w:rFonts w:ascii="Arial" w:hAnsi="Arial" w:cs="Arial"/>
                <w:color w:val="6C6361"/>
                <w:sz w:val="24"/>
                <w:szCs w:val="24"/>
              </w:rPr>
              <w:t>T’so</w:t>
            </w:r>
            <w:proofErr w:type="spellEnd"/>
            <w:r w:rsidRPr="00780774">
              <w:rPr>
                <w:rFonts w:ascii="Arial" w:hAnsi="Arial" w:cs="Arial"/>
                <w:color w:val="6C6361"/>
                <w:sz w:val="24"/>
                <w:szCs w:val="24"/>
              </w:rPr>
              <w:t xml:space="preserve"> </w:t>
            </w:r>
            <w:proofErr w:type="spellStart"/>
            <w:r w:rsidRPr="00780774">
              <w:rPr>
                <w:rFonts w:ascii="Arial" w:hAnsi="Arial" w:cs="Arial"/>
                <w:color w:val="6C6361"/>
                <w:sz w:val="24"/>
                <w:szCs w:val="24"/>
              </w:rPr>
              <w:t>T’ong</w:t>
            </w:r>
            <w:proofErr w:type="spellEnd"/>
            <w:r w:rsidRPr="00780774">
              <w:rPr>
                <w:rFonts w:ascii="Arial" w:hAnsi="Arial" w:cs="Arial"/>
                <w:color w:val="6C6361"/>
                <w:sz w:val="24"/>
                <w:szCs w:val="24"/>
              </w:rPr>
              <w:t xml:space="preserve"> land</w:t>
            </w:r>
          </w:p>
          <w:p w14:paraId="321C5668" w14:textId="77777777" w:rsidR="00AD5902" w:rsidRPr="00780774" w:rsidRDefault="00AD5902" w:rsidP="007F52AE">
            <w:pPr>
              <w:pStyle w:val="ListParagraph"/>
              <w:numPr>
                <w:ilvl w:val="0"/>
                <w:numId w:val="2"/>
              </w:numPr>
              <w:spacing w:line="276" w:lineRule="auto"/>
              <w:rPr>
                <w:rFonts w:ascii="Arial" w:hAnsi="Arial" w:cs="Arial"/>
                <w:color w:val="6C6361"/>
                <w:sz w:val="24"/>
                <w:szCs w:val="24"/>
              </w:rPr>
            </w:pPr>
            <w:r w:rsidRPr="00780774">
              <w:rPr>
                <w:rFonts w:ascii="Arial" w:hAnsi="Arial" w:cs="Arial"/>
                <w:color w:val="6C6361"/>
                <w:sz w:val="24"/>
                <w:szCs w:val="24"/>
              </w:rPr>
              <w:t>Particular intricate sections in the Limitation Ordinance</w:t>
            </w:r>
          </w:p>
        </w:tc>
        <w:tc>
          <w:tcPr>
            <w:tcW w:w="1752" w:type="dxa"/>
            <w:tcBorders>
              <w:top w:val="nil"/>
              <w:left w:val="nil"/>
              <w:bottom w:val="nil"/>
            </w:tcBorders>
            <w:shd w:val="clear" w:color="auto" w:fill="FFFFFF"/>
            <w:vAlign w:val="center"/>
          </w:tcPr>
          <w:p w14:paraId="042B9845" w14:textId="77777777" w:rsidR="00AD5902" w:rsidRDefault="00AD5902" w:rsidP="007F52AE">
            <w:pPr>
              <w:spacing w:line="276" w:lineRule="auto"/>
              <w:jc w:val="center"/>
              <w:rPr>
                <w:rFonts w:ascii="Arial" w:hAnsi="Arial" w:cs="Arial"/>
                <w:color w:val="6C6361"/>
                <w:sz w:val="24"/>
                <w:szCs w:val="24"/>
              </w:rPr>
            </w:pPr>
          </w:p>
          <w:p w14:paraId="177D434B" w14:textId="77777777" w:rsidR="00AD5902" w:rsidRDefault="00AD5902" w:rsidP="007F52AE">
            <w:pPr>
              <w:spacing w:line="276" w:lineRule="auto"/>
              <w:jc w:val="center"/>
              <w:rPr>
                <w:rFonts w:ascii="Arial" w:hAnsi="Arial" w:cs="Arial"/>
                <w:color w:val="6C6361"/>
                <w:sz w:val="24"/>
                <w:szCs w:val="24"/>
              </w:rPr>
            </w:pPr>
          </w:p>
          <w:p w14:paraId="3B8B5EE0" w14:textId="77777777" w:rsidR="00AD5902" w:rsidRDefault="00AD5902" w:rsidP="007F52AE">
            <w:pPr>
              <w:spacing w:line="276" w:lineRule="auto"/>
              <w:jc w:val="center"/>
              <w:rPr>
                <w:rFonts w:ascii="Arial" w:hAnsi="Arial" w:cs="Arial"/>
                <w:color w:val="6C6361"/>
                <w:sz w:val="24"/>
                <w:szCs w:val="24"/>
              </w:rPr>
            </w:pPr>
          </w:p>
          <w:p w14:paraId="6CC38DEA" w14:textId="77777777" w:rsidR="00AD5902" w:rsidRDefault="00AD5902" w:rsidP="007F52AE">
            <w:pPr>
              <w:spacing w:line="276" w:lineRule="auto"/>
              <w:jc w:val="center"/>
              <w:rPr>
                <w:rFonts w:ascii="Arial" w:hAnsi="Arial" w:cs="Arial"/>
                <w:color w:val="6C6361"/>
                <w:sz w:val="24"/>
                <w:szCs w:val="24"/>
              </w:rPr>
            </w:pPr>
          </w:p>
          <w:p w14:paraId="25284258" w14:textId="77777777" w:rsidR="00AD5902" w:rsidRDefault="00AD5902" w:rsidP="007F52AE">
            <w:pPr>
              <w:spacing w:line="276" w:lineRule="auto"/>
              <w:jc w:val="center"/>
              <w:rPr>
                <w:rFonts w:ascii="Arial" w:hAnsi="Arial" w:cs="Arial"/>
                <w:color w:val="6C6361"/>
                <w:sz w:val="24"/>
                <w:szCs w:val="24"/>
              </w:rPr>
            </w:pPr>
          </w:p>
          <w:p w14:paraId="1485F905" w14:textId="77777777" w:rsidR="00AD5902" w:rsidRDefault="00AD5902" w:rsidP="007F52AE">
            <w:pPr>
              <w:spacing w:line="276" w:lineRule="auto"/>
              <w:jc w:val="center"/>
              <w:rPr>
                <w:rFonts w:ascii="Arial" w:hAnsi="Arial" w:cs="Arial"/>
                <w:color w:val="6C6361"/>
                <w:sz w:val="24"/>
                <w:szCs w:val="24"/>
              </w:rPr>
            </w:pPr>
          </w:p>
          <w:p w14:paraId="72AF007E" w14:textId="77777777" w:rsidR="00AD5902" w:rsidRDefault="00AD5902" w:rsidP="007F52AE">
            <w:pPr>
              <w:spacing w:line="276" w:lineRule="auto"/>
              <w:jc w:val="center"/>
              <w:rPr>
                <w:rFonts w:ascii="Arial" w:hAnsi="Arial" w:cs="Arial"/>
                <w:color w:val="6C6361"/>
                <w:sz w:val="24"/>
                <w:szCs w:val="24"/>
              </w:rPr>
            </w:pPr>
          </w:p>
          <w:p w14:paraId="3EB2CD25" w14:textId="77777777" w:rsidR="00AD5902" w:rsidRDefault="00AD5902" w:rsidP="007F52AE">
            <w:pPr>
              <w:spacing w:line="276" w:lineRule="auto"/>
              <w:jc w:val="center"/>
              <w:rPr>
                <w:rFonts w:ascii="Arial" w:hAnsi="Arial" w:cs="Arial"/>
                <w:color w:val="6C6361"/>
                <w:sz w:val="24"/>
                <w:szCs w:val="24"/>
              </w:rPr>
            </w:pPr>
          </w:p>
          <w:p w14:paraId="6C74E984" w14:textId="77777777" w:rsidR="00AD5902" w:rsidRPr="00780774" w:rsidRDefault="00AD5902" w:rsidP="007F52AE">
            <w:pPr>
              <w:spacing w:line="276" w:lineRule="auto"/>
              <w:jc w:val="center"/>
              <w:rPr>
                <w:rFonts w:ascii="Arial" w:hAnsi="Arial" w:cs="Arial"/>
                <w:color w:val="6C6361"/>
                <w:sz w:val="24"/>
                <w:szCs w:val="24"/>
              </w:rPr>
            </w:pPr>
            <w:r>
              <w:rPr>
                <w:noProof/>
              </w:rPr>
              <w:drawing>
                <wp:inline distT="0" distB="0" distL="0" distR="0" wp14:anchorId="048DF562" wp14:editId="550B6D38">
                  <wp:extent cx="892800" cy="102169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00" cy="1021690"/>
                          </a:xfrm>
                          <a:prstGeom prst="rect">
                            <a:avLst/>
                          </a:prstGeom>
                        </pic:spPr>
                      </pic:pic>
                    </a:graphicData>
                  </a:graphic>
                </wp:inline>
              </w:drawing>
            </w:r>
          </w:p>
        </w:tc>
      </w:tr>
    </w:tbl>
    <w:p w14:paraId="1B162387" w14:textId="77777777" w:rsidR="00AD5902" w:rsidRPr="00AD5902" w:rsidRDefault="00AD5902" w:rsidP="00474066">
      <w:pPr>
        <w:spacing w:line="276" w:lineRule="auto"/>
        <w:rPr>
          <w:rFonts w:ascii="Arial" w:hAnsi="Arial" w:cs="Arial"/>
          <w:sz w:val="20"/>
          <w:szCs w:val="2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AD5902" w:rsidRPr="000762CF" w14:paraId="7D18E5F8" w14:textId="77777777" w:rsidTr="00AD5902">
        <w:trPr>
          <w:trHeight w:val="397"/>
          <w:jc w:val="center"/>
        </w:trPr>
        <w:tc>
          <w:tcPr>
            <w:tcW w:w="1701" w:type="dxa"/>
            <w:tcBorders>
              <w:top w:val="nil"/>
              <w:left w:val="nil"/>
              <w:bottom w:val="single" w:sz="12" w:space="0" w:color="FFFFFF"/>
            </w:tcBorders>
            <w:shd w:val="clear" w:color="auto" w:fill="F0EBE1"/>
            <w:vAlign w:val="center"/>
          </w:tcPr>
          <w:p w14:paraId="0999093D"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4F040C13" w14:textId="747B513A"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EVT000000381</w:t>
            </w:r>
          </w:p>
        </w:tc>
        <w:tc>
          <w:tcPr>
            <w:tcW w:w="1701" w:type="dxa"/>
            <w:tcBorders>
              <w:top w:val="nil"/>
              <w:bottom w:val="single" w:sz="12" w:space="0" w:color="FFFFFF"/>
            </w:tcBorders>
            <w:shd w:val="clear" w:color="auto" w:fill="F0EBE1"/>
            <w:vAlign w:val="center"/>
          </w:tcPr>
          <w:p w14:paraId="69502777"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4306F605"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AD5902" w:rsidRPr="000762CF" w14:paraId="47DB8E05" w14:textId="77777777" w:rsidTr="00AD5902">
        <w:trPr>
          <w:trHeight w:val="397"/>
          <w:jc w:val="center"/>
        </w:trPr>
        <w:tc>
          <w:tcPr>
            <w:tcW w:w="1701" w:type="dxa"/>
            <w:tcBorders>
              <w:top w:val="single" w:sz="12" w:space="0" w:color="FFFFFF"/>
              <w:left w:val="nil"/>
              <w:bottom w:val="single" w:sz="12" w:space="0" w:color="FFFFFF"/>
            </w:tcBorders>
            <w:shd w:val="clear" w:color="auto" w:fill="F0EBE1"/>
            <w:vAlign w:val="center"/>
          </w:tcPr>
          <w:p w14:paraId="3F3B5839"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62B469BB" w14:textId="19796E32" w:rsidR="00AD5902" w:rsidRPr="006B70C1"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March 2023 (Friday)</w:t>
            </w:r>
          </w:p>
        </w:tc>
        <w:tc>
          <w:tcPr>
            <w:tcW w:w="1701" w:type="dxa"/>
            <w:tcBorders>
              <w:top w:val="single" w:sz="12" w:space="0" w:color="FFFFFF"/>
              <w:bottom w:val="single" w:sz="12" w:space="0" w:color="FFFFFF"/>
            </w:tcBorders>
            <w:shd w:val="clear" w:color="auto" w:fill="F0EBE1"/>
            <w:vAlign w:val="center"/>
          </w:tcPr>
          <w:p w14:paraId="3E4921C5"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6A15F8E"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D5902" w:rsidRPr="000762CF" w14:paraId="1B89A29A" w14:textId="77777777" w:rsidTr="00AD5902">
        <w:trPr>
          <w:trHeight w:val="397"/>
          <w:jc w:val="center"/>
        </w:trPr>
        <w:tc>
          <w:tcPr>
            <w:tcW w:w="1701" w:type="dxa"/>
            <w:tcBorders>
              <w:top w:val="single" w:sz="12" w:space="0" w:color="FFFFFF"/>
              <w:left w:val="nil"/>
              <w:bottom w:val="single" w:sz="12" w:space="0" w:color="FFFFFF"/>
            </w:tcBorders>
            <w:shd w:val="clear" w:color="auto" w:fill="F0EBE1"/>
            <w:vAlign w:val="center"/>
          </w:tcPr>
          <w:p w14:paraId="4CE441F0"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2B6DD7CF" w14:textId="77777777" w:rsidR="00AD5902"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1DA1ED1B" w14:textId="2FFCEDFA" w:rsidR="00AD5902" w:rsidRPr="00EC7ADB"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6811DB6E" w14:textId="77777777" w:rsidR="00AD5902" w:rsidRPr="002343E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101BF4C3" w14:textId="77777777" w:rsidR="00AD5902" w:rsidRPr="006B70C1"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474066" w:rsidRPr="000762CF" w14:paraId="7527CA2B" w14:textId="77777777" w:rsidTr="00AD5902">
        <w:trPr>
          <w:trHeight w:val="397"/>
          <w:jc w:val="center"/>
        </w:trPr>
        <w:tc>
          <w:tcPr>
            <w:tcW w:w="1701" w:type="dxa"/>
            <w:tcBorders>
              <w:top w:val="single" w:sz="12" w:space="0" w:color="FFFFFF"/>
              <w:left w:val="nil"/>
              <w:bottom w:val="nil"/>
            </w:tcBorders>
            <w:shd w:val="clear" w:color="auto" w:fill="F0EBE1"/>
            <w:vAlign w:val="center"/>
          </w:tcPr>
          <w:p w14:paraId="0A2FA58C" w14:textId="77777777"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029EF43" w14:textId="77777777" w:rsidR="00AD5902" w:rsidRPr="00633466" w:rsidRDefault="00AD5902" w:rsidP="00AD590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Cs/>
                <w:i/>
                <w:iCs/>
                <w:color w:val="6C6361"/>
                <w:sz w:val="20"/>
                <w:szCs w:val="20"/>
              </w:rPr>
            </w:pPr>
            <w:r w:rsidRPr="00633466">
              <w:rPr>
                <w:rFonts w:ascii="Arial" w:hAnsi="Arial" w:cs="Arial"/>
                <w:bCs/>
                <w:i/>
                <w:iCs/>
                <w:color w:val="6C6361"/>
                <w:sz w:val="20"/>
                <w:szCs w:val="20"/>
              </w:rPr>
              <w:t>Option of:</w:t>
            </w:r>
          </w:p>
          <w:p w14:paraId="43CCC305" w14:textId="77777777" w:rsidR="00AD5902" w:rsidRDefault="00AD5902" w:rsidP="00AD590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633466">
              <w:rPr>
                <w:rFonts w:ascii="Arial" w:hAnsi="Arial" w:cs="Arial"/>
                <w:bCs/>
                <w:color w:val="6C6361"/>
                <w:sz w:val="20"/>
                <w:szCs w:val="20"/>
              </w:rPr>
              <w:t>(1)</w:t>
            </w:r>
            <w:r>
              <w:rPr>
                <w:rFonts w:ascii="Arial" w:hAnsi="Arial" w:cs="Arial"/>
                <w:b/>
                <w:color w:val="6C6361"/>
                <w:sz w:val="20"/>
                <w:szCs w:val="20"/>
              </w:rPr>
              <w:t xml:space="preserve"> Online </w:t>
            </w:r>
            <w:r w:rsidRPr="00633466">
              <w:rPr>
                <w:rFonts w:ascii="Arial" w:hAnsi="Arial" w:cs="Arial"/>
                <w:bCs/>
                <w:color w:val="6C6361"/>
                <w:sz w:val="20"/>
                <w:szCs w:val="20"/>
              </w:rPr>
              <w:t xml:space="preserve">via Zoom; </w:t>
            </w:r>
            <w:r w:rsidRPr="00633466">
              <w:rPr>
                <w:rFonts w:ascii="Arial" w:hAnsi="Arial" w:cs="Arial"/>
                <w:bCs/>
                <w:i/>
                <w:iCs/>
                <w:color w:val="6C6361"/>
                <w:sz w:val="20"/>
                <w:szCs w:val="20"/>
              </w:rPr>
              <w:t>or</w:t>
            </w:r>
          </w:p>
          <w:p w14:paraId="21625CF4" w14:textId="77777777" w:rsidR="00AD5902" w:rsidRPr="00482956" w:rsidRDefault="00AD5902" w:rsidP="00AD590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633466">
              <w:rPr>
                <w:rFonts w:ascii="Arial" w:hAnsi="Arial" w:cs="Arial"/>
                <w:bCs/>
                <w:color w:val="6C6361"/>
                <w:sz w:val="20"/>
                <w:szCs w:val="20"/>
              </w:rPr>
              <w:t xml:space="preserve">(2) </w:t>
            </w: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14:paraId="5594B0B7" w14:textId="77777777" w:rsidR="00AD5902" w:rsidRPr="00F36D9A"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14:paraId="444C3F89" w14:textId="77777777" w:rsidR="00AD5902" w:rsidRPr="00F36D9A"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14:paraId="0B37D12B" w14:textId="3C2E498E" w:rsidR="00474066" w:rsidRPr="000762CF" w:rsidRDefault="00AD5902" w:rsidP="00AD5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0C9285AE" w14:textId="77777777" w:rsidR="00AD5902" w:rsidRDefault="00AD5902" w:rsidP="00AD5902">
            <w:pPr>
              <w:jc w:val="right"/>
              <w:rPr>
                <w:rFonts w:ascii="Arial" w:hAnsi="Arial" w:cs="Arial"/>
                <w:b/>
                <w:color w:val="6C6361"/>
                <w:sz w:val="20"/>
                <w:szCs w:val="20"/>
              </w:rPr>
            </w:pPr>
          </w:p>
          <w:p w14:paraId="0312A7A0" w14:textId="77777777" w:rsidR="00AD5902" w:rsidRDefault="00AD5902" w:rsidP="00AD5902">
            <w:pPr>
              <w:jc w:val="right"/>
              <w:rPr>
                <w:rFonts w:ascii="Arial" w:hAnsi="Arial" w:cs="Arial"/>
                <w:b/>
                <w:color w:val="6C6361"/>
                <w:sz w:val="20"/>
                <w:szCs w:val="20"/>
              </w:rPr>
            </w:pPr>
          </w:p>
          <w:p w14:paraId="329BCC08" w14:textId="77777777" w:rsidR="00AD5902" w:rsidRDefault="00AD5902" w:rsidP="00AD5902">
            <w:pPr>
              <w:jc w:val="right"/>
              <w:rPr>
                <w:rFonts w:ascii="Arial" w:hAnsi="Arial" w:cs="Arial"/>
                <w:b/>
                <w:color w:val="6C6361"/>
                <w:sz w:val="20"/>
                <w:szCs w:val="20"/>
              </w:rPr>
            </w:pPr>
          </w:p>
          <w:p w14:paraId="74B3C839" w14:textId="7DB562CA" w:rsidR="00474066" w:rsidRPr="000762CF" w:rsidRDefault="00474066" w:rsidP="00AD590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28382EBE" wp14:editId="0E66019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3015348F"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88E238C"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FF68448"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6F3D9080"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27DD703E" w14:textId="77777777"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A580480" wp14:editId="1DB18C00">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283D70C" w14:textId="77777777" w:rsidR="00214BC6" w:rsidRPr="00C02761" w:rsidRDefault="00214BC6" w:rsidP="00474066">
      <w:pPr>
        <w:rPr>
          <w:sz w:val="2"/>
          <w:szCs w:val="2"/>
        </w:rPr>
      </w:pPr>
    </w:p>
    <w:sectPr w:rsidR="00214BC6" w:rsidRPr="00C0276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8F80" w14:textId="77777777" w:rsidR="000B302F" w:rsidRDefault="000B302F" w:rsidP="00546556">
      <w:r>
        <w:separator/>
      </w:r>
    </w:p>
  </w:endnote>
  <w:endnote w:type="continuationSeparator" w:id="0">
    <w:p w14:paraId="254FAAED" w14:textId="77777777" w:rsidR="000B302F" w:rsidRDefault="000B302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8B3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79B6ABAB" w14:textId="77777777" w:rsidTr="00A775CE">
      <w:trPr>
        <w:trHeight w:val="1824"/>
        <w:jc w:val="center"/>
      </w:trPr>
      <w:tc>
        <w:tcPr>
          <w:tcW w:w="5954" w:type="dxa"/>
          <w:vAlign w:val="bottom"/>
        </w:tcPr>
        <w:p w14:paraId="5302701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54FE908F" wp14:editId="44FCB0A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F93D0EB" w14:textId="77777777" w:rsidR="00197F64" w:rsidRPr="00EA2D57" w:rsidRDefault="00197F64" w:rsidP="00197F64">
          <w:pPr>
            <w:ind w:right="33"/>
            <w:jc w:val="center"/>
            <w:rPr>
              <w:rFonts w:ascii="Arial" w:hAnsi="Arial" w:cs="Arial"/>
              <w:color w:val="E4DCCA"/>
              <w:sz w:val="16"/>
              <w:szCs w:val="16"/>
            </w:rPr>
          </w:pPr>
        </w:p>
        <w:p w14:paraId="04C28CAF"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69BC9BA"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196A83C"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BC0BA18"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D12471F" wp14:editId="313F302D">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BB022A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7F2F3FA1"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52A8FC3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37DFFBFB"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6D2A2A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FE4B881"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2D04" w14:textId="77777777" w:rsidR="000B302F" w:rsidRDefault="000B302F" w:rsidP="00546556">
      <w:r>
        <w:separator/>
      </w:r>
    </w:p>
  </w:footnote>
  <w:footnote w:type="continuationSeparator" w:id="0">
    <w:p w14:paraId="6F87BF09" w14:textId="77777777" w:rsidR="000B302F" w:rsidRDefault="000B302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A284" w14:textId="77777777" w:rsidR="002C4DC0" w:rsidRDefault="00F0384F">
    <w:pPr>
      <w:pStyle w:val="Header"/>
    </w:pPr>
    <w:r>
      <w:rPr>
        <w:noProof/>
      </w:rPr>
      <w:drawing>
        <wp:anchor distT="0" distB="0" distL="114300" distR="114300" simplePos="0" relativeHeight="251659264" behindDoc="1" locked="0" layoutInCell="1" allowOverlap="1" wp14:anchorId="24692DA4" wp14:editId="7208C1C5">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D43429B"/>
    <w:multiLevelType w:val="hybridMultilevel"/>
    <w:tmpl w:val="0C8CC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E2749"/>
    <w:multiLevelType w:val="hybridMultilevel"/>
    <w:tmpl w:val="C6FC3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2"/>
  </w:num>
  <w:num w:numId="11">
    <w:abstractNumId w:val="0"/>
  </w:num>
  <w:num w:numId="12">
    <w:abstractNumId w:val="9"/>
  </w:num>
  <w:num w:numId="13">
    <w:abstractNumId w:val="13"/>
  </w:num>
  <w:num w:numId="14">
    <w:abstractNumId w:val="7"/>
  </w:num>
  <w:num w:numId="15">
    <w:abstractNumId w:val="11"/>
  </w:num>
  <w:num w:numId="16">
    <w:abstractNumId w:val="1"/>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fH1lvFeinBpNv/COsDuN79GQqSFTqsI7Fdd0u+DDCOivSQz+7tzS/07ZSrScd8zhPpMHiw0RvVzOHngJSVI4hw==" w:salt="SGS/aChADmexnLgJxTy0B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02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6BA"/>
    <w:rsid w:val="000D5EB4"/>
    <w:rsid w:val="000D6856"/>
    <w:rsid w:val="000D7ACB"/>
    <w:rsid w:val="000E0EC7"/>
    <w:rsid w:val="000E102A"/>
    <w:rsid w:val="000E172C"/>
    <w:rsid w:val="000E3318"/>
    <w:rsid w:val="000E3AE4"/>
    <w:rsid w:val="000E3F02"/>
    <w:rsid w:val="000E4337"/>
    <w:rsid w:val="000E4FB2"/>
    <w:rsid w:val="000E7237"/>
    <w:rsid w:val="000E7464"/>
    <w:rsid w:val="000F0110"/>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B89"/>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0FDB"/>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261"/>
    <w:rsid w:val="00302B25"/>
    <w:rsid w:val="00304C2A"/>
    <w:rsid w:val="00305F22"/>
    <w:rsid w:val="00306557"/>
    <w:rsid w:val="00307FC5"/>
    <w:rsid w:val="00312048"/>
    <w:rsid w:val="00312AD5"/>
    <w:rsid w:val="00314A05"/>
    <w:rsid w:val="0031523F"/>
    <w:rsid w:val="00315617"/>
    <w:rsid w:val="003158A3"/>
    <w:rsid w:val="003171FF"/>
    <w:rsid w:val="00320840"/>
    <w:rsid w:val="00320BE9"/>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18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32"/>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27593"/>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A1C"/>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78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A67"/>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46A"/>
    <w:rsid w:val="007F1F96"/>
    <w:rsid w:val="007F3C26"/>
    <w:rsid w:val="007F3CF1"/>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074"/>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38DB"/>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3E1"/>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74A"/>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0D20"/>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5902"/>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4F0F"/>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71A"/>
    <w:rsid w:val="00BF2D3D"/>
    <w:rsid w:val="00BF31B4"/>
    <w:rsid w:val="00BF3354"/>
    <w:rsid w:val="00BF441B"/>
    <w:rsid w:val="00BF468F"/>
    <w:rsid w:val="00BF58C7"/>
    <w:rsid w:val="00BF6E97"/>
    <w:rsid w:val="00BF7B24"/>
    <w:rsid w:val="00C00D6A"/>
    <w:rsid w:val="00C02761"/>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3DCD"/>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219"/>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87B"/>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34D"/>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211"/>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7A75CF1D"/>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8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524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4D0CB-5D42-4129-848A-C3B9536F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Email Fraud: How to Claim Money Back?</vt:lpstr>
    </vt:vector>
  </TitlesOfParts>
  <Manager>Tyrone Tsang</Manager>
  <Company>The Profectional Company Limited</Company>
  <LinksUpToDate>false</LinksUpToDate>
  <CharactersWithSpaces>3066</CharactersWithSpaces>
  <SharedDoc>false</SharedDoc>
  <HyperlinkBase>http://download.profectional.com/events/EVT000000381.docx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Adverse Possession: Practical Tips &amp; Latest Legal Development (IO of Kam Luk Building v. 吳靜燕 [2022] HKCA 1896)</dc:title>
  <dc:subject>CPD Course: Adverse Possession: Practical Tips &amp; Latest Legal Development (IO of Kam Luk Building v. 吳靜燕 [2022] HKCA 1896)</dc:subject>
  <dc:creator>The Profectional Company Limited</dc:creator>
  <cp:keywords>Profectional; Kornerstone; CPD; CPT; CLE; CE; RME; Dicky Cheung; Barrister; Garden Chambers</cp:keywords>
  <cp:lastModifiedBy>Tyrone Tsang</cp:lastModifiedBy>
  <cp:revision>50</cp:revision>
  <cp:lastPrinted>2023-03-24T16:07:00Z</cp:lastPrinted>
  <dcterms:created xsi:type="dcterms:W3CDTF">2015-05-28T16:24:00Z</dcterms:created>
  <dcterms:modified xsi:type="dcterms:W3CDTF">2023-03-24T16:07:00Z</dcterms:modified>
</cp:coreProperties>
</file>