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BCAF0" w14:textId="77777777" w:rsidR="0018480E" w:rsidRPr="0018480E" w:rsidRDefault="0018480E" w:rsidP="0018480E">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18480E" w:rsidRPr="00523A64" w14:paraId="4A2F2F46" w14:textId="77777777" w:rsidTr="009E1E79">
        <w:trPr>
          <w:trHeight w:val="3119"/>
          <w:jc w:val="center"/>
        </w:trPr>
        <w:tc>
          <w:tcPr>
            <w:tcW w:w="4820" w:type="dxa"/>
            <w:shd w:val="clear" w:color="auto" w:fill="FFFFFF"/>
            <w:vAlign w:val="center"/>
          </w:tcPr>
          <w:p w14:paraId="3845155B" w14:textId="77777777" w:rsidR="0018480E" w:rsidRPr="001A3018" w:rsidRDefault="0018480E" w:rsidP="009E1E79">
            <w:pPr>
              <w:jc w:val="center"/>
              <w:rPr>
                <w:rFonts w:ascii="Arial" w:hAnsi="Arial" w:cs="Arial"/>
                <w:b/>
                <w:bCs/>
                <w:color w:val="524B48"/>
                <w:sz w:val="4"/>
                <w:szCs w:val="4"/>
              </w:rPr>
            </w:pPr>
          </w:p>
          <w:p w14:paraId="4D51186D" w14:textId="77777777" w:rsidR="0018480E" w:rsidRPr="00CF685C" w:rsidRDefault="0018480E" w:rsidP="009E1E79">
            <w:pPr>
              <w:jc w:val="center"/>
              <w:rPr>
                <w:rStyle w:val="Hyperlink"/>
                <w:rFonts w:ascii="Arial" w:hAnsi="Arial" w:cs="Arial"/>
                <w:b/>
                <w:bCs/>
                <w:color w:val="524B48"/>
                <w:sz w:val="32"/>
                <w:szCs w:val="32"/>
                <w:u w:val="none"/>
              </w:rPr>
            </w:pPr>
            <w:r w:rsidRPr="00CF685C">
              <w:fldChar w:fldCharType="begin"/>
            </w:r>
            <w:r>
              <w:instrText>HYPERLINK "http://cpd.hk/evt000000385/"</w:instrText>
            </w:r>
            <w:r w:rsidRPr="00CF685C">
              <w:fldChar w:fldCharType="separate"/>
            </w:r>
            <w:r w:rsidRPr="006615DF">
              <w:rPr>
                <w:rStyle w:val="Hyperlink"/>
                <w:rFonts w:ascii="Arial" w:hAnsi="Arial" w:cs="Arial"/>
                <w:b/>
                <w:bCs/>
                <w:color w:val="524B48"/>
                <w:sz w:val="32"/>
                <w:szCs w:val="32"/>
                <w:u w:val="none"/>
              </w:rPr>
              <w:t>State-Owned Enterprise</w:t>
            </w:r>
            <w:r>
              <w:rPr>
                <w:rStyle w:val="Hyperlink"/>
                <w:rFonts w:ascii="Arial" w:hAnsi="Arial" w:cs="Arial"/>
                <w:b/>
                <w:bCs/>
                <w:color w:val="524B48"/>
                <w:sz w:val="32"/>
                <w:szCs w:val="32"/>
                <w:u w:val="none"/>
              </w:rPr>
              <w:t>s</w:t>
            </w:r>
            <w:r>
              <w:rPr>
                <w:rStyle w:val="Hyperlink"/>
                <w:rFonts w:ascii="Arial" w:hAnsi="Arial" w:cs="Arial"/>
                <w:b/>
                <w:bCs/>
                <w:color w:val="524B48"/>
                <w:sz w:val="32"/>
                <w:szCs w:val="32"/>
                <w:u w:val="none"/>
              </w:rPr>
              <w:br/>
            </w:r>
            <w:r w:rsidRPr="006615DF">
              <w:rPr>
                <w:rStyle w:val="Hyperlink"/>
                <w:rFonts w:ascii="Arial" w:hAnsi="Arial" w:cs="Arial"/>
                <w:b/>
                <w:bCs/>
                <w:color w:val="524B48"/>
                <w:sz w:val="32"/>
                <w:szCs w:val="32"/>
                <w:u w:val="none"/>
              </w:rPr>
              <w:t>and Dispute Resolution</w:t>
            </w:r>
          </w:p>
          <w:p w14:paraId="3B22FBAB" w14:textId="77777777" w:rsidR="0018480E" w:rsidRPr="00C65AFD" w:rsidRDefault="0018480E" w:rsidP="009E1E79">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481DA271" w14:textId="77777777" w:rsidR="0018480E" w:rsidRPr="00C65AFD" w:rsidRDefault="0018480E" w:rsidP="009E1E79">
            <w:pPr>
              <w:jc w:val="center"/>
              <w:rPr>
                <w:rFonts w:ascii="Arial" w:hAnsi="Arial" w:cs="Arial"/>
                <w:i/>
                <w:color w:val="6C6361"/>
                <w:sz w:val="24"/>
                <w:szCs w:val="24"/>
              </w:rPr>
            </w:pPr>
            <w:r w:rsidRPr="00C65AFD">
              <w:rPr>
                <w:rFonts w:ascii="Arial" w:hAnsi="Arial" w:cs="Arial"/>
                <w:i/>
                <w:color w:val="6C6361"/>
                <w:sz w:val="24"/>
                <w:szCs w:val="24"/>
              </w:rPr>
              <w:t>by</w:t>
            </w:r>
          </w:p>
          <w:p w14:paraId="33EDA24B" w14:textId="77777777" w:rsidR="0018480E" w:rsidRDefault="0018480E" w:rsidP="009E1E79">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Dr. Dini </w:t>
              </w:r>
              <w:proofErr w:type="spellStart"/>
              <w:r>
                <w:rPr>
                  <w:rStyle w:val="Hyperlink"/>
                  <w:rFonts w:ascii="Arial" w:hAnsi="Arial" w:cs="Arial"/>
                  <w:color w:val="6C6361"/>
                  <w:sz w:val="24"/>
                  <w:szCs w:val="24"/>
                  <w:u w:val="none"/>
                </w:rPr>
                <w:t>Sejko</w:t>
              </w:r>
              <w:proofErr w:type="spellEnd"/>
            </w:hyperlink>
            <w:r>
              <w:rPr>
                <w:rFonts w:ascii="Arial" w:hAnsi="Arial" w:cs="Arial"/>
                <w:color w:val="6C6361"/>
                <w:sz w:val="24"/>
                <w:szCs w:val="24"/>
              </w:rPr>
              <w:t>,</w:t>
            </w:r>
          </w:p>
          <w:p w14:paraId="3E77D789" w14:textId="77777777" w:rsidR="0018480E" w:rsidRPr="0051550E" w:rsidRDefault="0018480E" w:rsidP="009E1E79">
            <w:pPr>
              <w:jc w:val="center"/>
              <w:rPr>
                <w:rFonts w:ascii="Arial" w:hAnsi="Arial" w:cs="Arial"/>
                <w:color w:val="6C6361"/>
                <w:sz w:val="24"/>
                <w:szCs w:val="24"/>
              </w:rPr>
            </w:pPr>
            <w:proofErr w:type="spellStart"/>
            <w:r w:rsidRPr="006615DF">
              <w:rPr>
                <w:rFonts w:ascii="Arial" w:hAnsi="Arial" w:cs="Arial"/>
                <w:color w:val="6C6361"/>
                <w:sz w:val="24"/>
                <w:szCs w:val="24"/>
              </w:rPr>
              <w:t>MCIArb</w:t>
            </w:r>
            <w:proofErr w:type="spellEnd"/>
            <w:r w:rsidRPr="0051550E">
              <w:rPr>
                <w:rFonts w:ascii="Arial" w:hAnsi="Arial" w:cs="Arial"/>
                <w:color w:val="6C6361"/>
                <w:sz w:val="24"/>
                <w:szCs w:val="24"/>
              </w:rPr>
              <w:t>,</w:t>
            </w:r>
          </w:p>
          <w:p w14:paraId="169476C4" w14:textId="77777777" w:rsidR="0018480E" w:rsidRDefault="0018480E" w:rsidP="009E1E79">
            <w:pPr>
              <w:jc w:val="center"/>
              <w:rPr>
                <w:rFonts w:ascii="Arial" w:hAnsi="Arial" w:cs="Arial"/>
                <w:color w:val="6C6361"/>
                <w:sz w:val="24"/>
                <w:szCs w:val="24"/>
              </w:rPr>
            </w:pPr>
            <w:r w:rsidRPr="006615DF">
              <w:rPr>
                <w:rFonts w:ascii="Arial" w:hAnsi="Arial" w:cs="Arial"/>
                <w:color w:val="6C6361"/>
                <w:sz w:val="24"/>
                <w:szCs w:val="24"/>
              </w:rPr>
              <w:t>Mediator, Lecturer,</w:t>
            </w:r>
          </w:p>
          <w:p w14:paraId="589D086E" w14:textId="77777777" w:rsidR="0018480E" w:rsidRDefault="0018480E" w:rsidP="009E1E79">
            <w:pPr>
              <w:jc w:val="center"/>
              <w:rPr>
                <w:rFonts w:ascii="Arial" w:hAnsi="Arial" w:cs="Arial"/>
                <w:color w:val="6C6361"/>
                <w:sz w:val="24"/>
                <w:szCs w:val="24"/>
              </w:rPr>
            </w:pPr>
            <w:r w:rsidRPr="006615DF">
              <w:rPr>
                <w:rFonts w:ascii="Arial" w:hAnsi="Arial" w:cs="Arial"/>
                <w:color w:val="6C6361"/>
                <w:sz w:val="24"/>
                <w:szCs w:val="24"/>
              </w:rPr>
              <w:t>Hong Kong University</w:t>
            </w:r>
            <w:r>
              <w:rPr>
                <w:rFonts w:ascii="Arial" w:hAnsi="Arial" w:cs="Arial"/>
                <w:color w:val="6C6361"/>
                <w:sz w:val="24"/>
                <w:szCs w:val="24"/>
              </w:rPr>
              <w:t xml:space="preserve"> </w:t>
            </w:r>
            <w:r w:rsidRPr="006615DF">
              <w:rPr>
                <w:rFonts w:ascii="Arial" w:hAnsi="Arial" w:cs="Arial"/>
                <w:color w:val="6C6361"/>
                <w:sz w:val="24"/>
                <w:szCs w:val="24"/>
              </w:rPr>
              <w:t>of</w:t>
            </w:r>
            <w:r>
              <w:rPr>
                <w:rFonts w:ascii="Arial" w:hAnsi="Arial" w:cs="Arial"/>
                <w:color w:val="6C6361"/>
                <w:sz w:val="24"/>
                <w:szCs w:val="24"/>
              </w:rPr>
              <w:t xml:space="preserve"> </w:t>
            </w:r>
            <w:r w:rsidRPr="006615DF">
              <w:rPr>
                <w:rFonts w:ascii="Arial" w:hAnsi="Arial" w:cs="Arial"/>
                <w:color w:val="6C6361"/>
                <w:sz w:val="24"/>
                <w:szCs w:val="24"/>
              </w:rPr>
              <w:t>Science</w:t>
            </w:r>
          </w:p>
          <w:p w14:paraId="1B594BE4" w14:textId="77777777" w:rsidR="0018480E" w:rsidRPr="006615DF" w:rsidRDefault="0018480E" w:rsidP="009E1E79">
            <w:pPr>
              <w:jc w:val="center"/>
              <w:rPr>
                <w:rFonts w:ascii="Arial" w:hAnsi="Arial" w:cs="Arial"/>
                <w:color w:val="6C6361"/>
                <w:sz w:val="24"/>
                <w:szCs w:val="24"/>
              </w:rPr>
            </w:pPr>
            <w:r w:rsidRPr="006615DF">
              <w:rPr>
                <w:rFonts w:ascii="Arial" w:hAnsi="Arial" w:cs="Arial"/>
                <w:color w:val="6C6361"/>
                <w:sz w:val="24"/>
                <w:szCs w:val="24"/>
              </w:rPr>
              <w:t>and Technology,</w:t>
            </w:r>
            <w:r>
              <w:rPr>
                <w:rFonts w:ascii="Arial" w:hAnsi="Arial" w:cs="Arial"/>
                <w:color w:val="6C6361"/>
                <w:sz w:val="24"/>
                <w:szCs w:val="24"/>
              </w:rPr>
              <w:t xml:space="preserve"> </w:t>
            </w:r>
            <w:r w:rsidRPr="006615DF">
              <w:rPr>
                <w:rFonts w:ascii="Arial" w:hAnsi="Arial" w:cs="Arial"/>
                <w:color w:val="6C6361"/>
                <w:sz w:val="24"/>
                <w:szCs w:val="24"/>
              </w:rPr>
              <w:t>Business School</w:t>
            </w:r>
          </w:p>
        </w:tc>
        <w:tc>
          <w:tcPr>
            <w:tcW w:w="5954" w:type="dxa"/>
            <w:shd w:val="clear" w:color="auto" w:fill="FFFFFF"/>
            <w:vAlign w:val="center"/>
          </w:tcPr>
          <w:p w14:paraId="4BC11AD5" w14:textId="77777777" w:rsidR="0018480E" w:rsidRPr="00D50772" w:rsidRDefault="0018480E" w:rsidP="009E1E79">
            <w:pPr>
              <w:spacing w:line="276" w:lineRule="auto"/>
              <w:jc w:val="center"/>
              <w:rPr>
                <w:rFonts w:ascii="Arial" w:eastAsia="Times New Roman" w:hAnsi="Arial" w:cs="Arial"/>
                <w:noProof/>
                <w:sz w:val="20"/>
                <w:szCs w:val="20"/>
              </w:rPr>
            </w:pPr>
            <w:r>
              <w:rPr>
                <w:noProof/>
              </w:rPr>
              <w:drawing>
                <wp:anchor distT="0" distB="0" distL="114300" distR="114300" simplePos="0" relativeHeight="251659264" behindDoc="0" locked="0" layoutInCell="1" allowOverlap="1" wp14:anchorId="782CF2DC" wp14:editId="6F6DD742">
                  <wp:simplePos x="0" y="0"/>
                  <wp:positionH relativeFrom="column">
                    <wp:posOffset>3174365</wp:posOffset>
                  </wp:positionH>
                  <wp:positionV relativeFrom="paragraph">
                    <wp:posOffset>-53340</wp:posOffset>
                  </wp:positionV>
                  <wp:extent cx="539750" cy="539750"/>
                  <wp:effectExtent l="0" t="0" r="6350" b="6350"/>
                  <wp:wrapNone/>
                  <wp:docPr id="4" name="Graphic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3E7EA32" wp14:editId="53107DAB">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0F357EBA" w14:textId="77777777" w:rsidR="0018480E" w:rsidRPr="00B758DB" w:rsidRDefault="0018480E" w:rsidP="0018480E">
      <w:pPr>
        <w:spacing w:line="276" w:lineRule="auto"/>
        <w:jc w:val="left"/>
        <w:rPr>
          <w:rFonts w:ascii="Arial" w:hAnsi="Arial" w:cs="Arial"/>
          <w:sz w:val="20"/>
          <w:szCs w:val="28"/>
        </w:rPr>
      </w:pPr>
    </w:p>
    <w:tbl>
      <w:tblPr>
        <w:tblW w:w="10773" w:type="dxa"/>
        <w:jc w:val="center"/>
        <w:tblLook w:val="04A0" w:firstRow="1" w:lastRow="0" w:firstColumn="1" w:lastColumn="0" w:noHBand="0" w:noVBand="1"/>
      </w:tblPr>
      <w:tblGrid>
        <w:gridCol w:w="1985"/>
        <w:gridCol w:w="8788"/>
      </w:tblGrid>
      <w:tr w:rsidR="0018480E" w:rsidRPr="005E3F39" w14:paraId="79D440CD" w14:textId="77777777" w:rsidTr="009E1E79">
        <w:trPr>
          <w:trHeight w:val="7673"/>
          <w:jc w:val="center"/>
        </w:trPr>
        <w:tc>
          <w:tcPr>
            <w:tcW w:w="1985" w:type="dxa"/>
            <w:shd w:val="clear" w:color="auto" w:fill="FFFFFF"/>
            <w:vAlign w:val="center"/>
          </w:tcPr>
          <w:p w14:paraId="124B676F" w14:textId="77777777" w:rsidR="0018480E" w:rsidRPr="005E3F39" w:rsidRDefault="0018480E" w:rsidP="0018480E">
            <w:pPr>
              <w:spacing w:line="276" w:lineRule="auto"/>
              <w:jc w:val="center"/>
              <w:rPr>
                <w:rFonts w:ascii="Arial" w:hAnsi="Arial" w:cs="Arial"/>
                <w:sz w:val="24"/>
                <w:szCs w:val="24"/>
              </w:rPr>
            </w:pPr>
            <w:r w:rsidRPr="005E3F39">
              <w:rPr>
                <w:rFonts w:ascii="Arial" w:hAnsi="Arial" w:cs="Arial"/>
                <w:noProof/>
                <w:sz w:val="24"/>
                <w:szCs w:val="24"/>
              </w:rPr>
              <w:drawing>
                <wp:inline distT="0" distB="0" distL="0" distR="0" wp14:anchorId="3AB1EC7A" wp14:editId="56C9D89D">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71CBDA33" w14:textId="77777777" w:rsidR="0018480E" w:rsidRPr="005E3F39" w:rsidRDefault="0018480E" w:rsidP="0018480E">
            <w:pPr>
              <w:pStyle w:val="NormalWeb"/>
              <w:spacing w:before="0" w:beforeAutospacing="0" w:after="0" w:afterAutospacing="0"/>
              <w:jc w:val="both"/>
              <w:rPr>
                <w:rFonts w:ascii="Arial" w:hAnsi="Arial" w:cs="Arial"/>
                <w:color w:val="6C6361"/>
              </w:rPr>
            </w:pPr>
            <w:r w:rsidRPr="005E3F39">
              <w:rPr>
                <w:rFonts w:ascii="Arial" w:hAnsi="Arial" w:cs="Arial"/>
                <w:color w:val="6C6361"/>
              </w:rPr>
              <w:t xml:space="preserve">Dr. Dini </w:t>
            </w:r>
            <w:proofErr w:type="spellStart"/>
            <w:r w:rsidRPr="005E3F39">
              <w:rPr>
                <w:rFonts w:ascii="Arial" w:hAnsi="Arial" w:cs="Arial"/>
                <w:color w:val="6C6361"/>
              </w:rPr>
              <w:t>Sejko</w:t>
            </w:r>
            <w:proofErr w:type="spellEnd"/>
            <w:r w:rsidRPr="005E3F39">
              <w:rPr>
                <w:rFonts w:ascii="Arial" w:hAnsi="Arial" w:cs="Arial"/>
                <w:color w:val="6C6361"/>
              </w:rPr>
              <w:t xml:space="preserve"> is an academic and consultant.  He works on international economic law issues, exploring challenges and regulatory transformations triggered by sovereign investors, and sustainable development.</w:t>
            </w:r>
          </w:p>
          <w:p w14:paraId="347EBE4E" w14:textId="77777777" w:rsidR="0018480E" w:rsidRPr="00170B03" w:rsidRDefault="0018480E" w:rsidP="0018480E">
            <w:pPr>
              <w:pStyle w:val="NormalWeb"/>
              <w:spacing w:before="0" w:beforeAutospacing="0" w:after="0" w:afterAutospacing="0"/>
              <w:jc w:val="both"/>
              <w:rPr>
                <w:rFonts w:ascii="Arial" w:hAnsi="Arial" w:cs="Arial"/>
                <w:color w:val="6C6361"/>
              </w:rPr>
            </w:pPr>
          </w:p>
          <w:p w14:paraId="7D577FD6" w14:textId="77777777" w:rsidR="0018480E" w:rsidRPr="005E3F39" w:rsidRDefault="0018480E" w:rsidP="0018480E">
            <w:pPr>
              <w:pStyle w:val="NormalWeb"/>
              <w:spacing w:before="0" w:beforeAutospacing="0" w:after="0" w:afterAutospacing="0"/>
              <w:jc w:val="both"/>
              <w:rPr>
                <w:rFonts w:ascii="Arial" w:hAnsi="Arial" w:cs="Arial"/>
                <w:color w:val="6C6361"/>
              </w:rPr>
            </w:pPr>
            <w:r w:rsidRPr="005E3F39">
              <w:rPr>
                <w:rFonts w:ascii="Arial" w:hAnsi="Arial" w:cs="Arial"/>
                <w:color w:val="6C6361"/>
              </w:rPr>
              <w:t xml:space="preserve">Dr. </w:t>
            </w:r>
            <w:proofErr w:type="spellStart"/>
            <w:r w:rsidRPr="005E3F39">
              <w:rPr>
                <w:rFonts w:ascii="Arial" w:hAnsi="Arial" w:cs="Arial"/>
                <w:color w:val="6C6361"/>
              </w:rPr>
              <w:t>Sejko</w:t>
            </w:r>
            <w:proofErr w:type="spellEnd"/>
            <w:r w:rsidRPr="005E3F39">
              <w:rPr>
                <w:rFonts w:ascii="Arial" w:hAnsi="Arial" w:cs="Arial"/>
                <w:color w:val="6C6361"/>
              </w:rPr>
              <w:t xml:space="preserve"> teaches "Transnational Legal Issues and Dispute Settlement" at the Hong Kong University of Science and Technology, Business School.  He has also taught courses on Private International Law, International Business Transactions, and Investment Arbitration.  Dr. </w:t>
            </w:r>
            <w:proofErr w:type="spellStart"/>
            <w:r w:rsidRPr="005E3F39">
              <w:rPr>
                <w:rFonts w:ascii="Arial" w:hAnsi="Arial" w:cs="Arial"/>
                <w:color w:val="6C6361"/>
              </w:rPr>
              <w:t>Sejko</w:t>
            </w:r>
            <w:proofErr w:type="spellEnd"/>
            <w:r w:rsidRPr="005E3F39">
              <w:rPr>
                <w:rFonts w:ascii="Arial" w:hAnsi="Arial" w:cs="Arial"/>
                <w:color w:val="6C6361"/>
              </w:rPr>
              <w:t xml:space="preserve"> is a research affiliate at The Fletcher Network for Sovereign Wealth and Global Capital, Tufts University.</w:t>
            </w:r>
          </w:p>
          <w:p w14:paraId="20D03C37" w14:textId="77777777" w:rsidR="0018480E" w:rsidRPr="00170B03" w:rsidRDefault="0018480E" w:rsidP="0018480E">
            <w:pPr>
              <w:pStyle w:val="NormalWeb"/>
              <w:spacing w:before="0" w:beforeAutospacing="0" w:after="0" w:afterAutospacing="0"/>
              <w:jc w:val="both"/>
              <w:rPr>
                <w:rFonts w:ascii="Arial" w:hAnsi="Arial" w:cs="Arial"/>
                <w:color w:val="6C6361"/>
              </w:rPr>
            </w:pPr>
          </w:p>
          <w:p w14:paraId="6FA2CD0A" w14:textId="77777777" w:rsidR="0018480E" w:rsidRPr="005E3F39" w:rsidRDefault="0018480E" w:rsidP="0018480E">
            <w:pPr>
              <w:pStyle w:val="NormalWeb"/>
              <w:spacing w:before="0" w:beforeAutospacing="0" w:after="0" w:afterAutospacing="0"/>
              <w:jc w:val="both"/>
              <w:rPr>
                <w:rFonts w:ascii="Arial" w:hAnsi="Arial" w:cs="Arial"/>
                <w:color w:val="6C6361"/>
              </w:rPr>
            </w:pPr>
            <w:r w:rsidRPr="005E3F39">
              <w:rPr>
                <w:rFonts w:ascii="Arial" w:hAnsi="Arial" w:cs="Arial"/>
                <w:color w:val="6C6361"/>
              </w:rPr>
              <w:t xml:space="preserve">For his research on the impact of sanctions on the governance of the Libyan sovereign wealth fund, Dr. </w:t>
            </w:r>
            <w:proofErr w:type="spellStart"/>
            <w:r w:rsidRPr="005E3F39">
              <w:rPr>
                <w:rFonts w:ascii="Arial" w:hAnsi="Arial" w:cs="Arial"/>
                <w:color w:val="6C6361"/>
              </w:rPr>
              <w:t>Sejko</w:t>
            </w:r>
            <w:proofErr w:type="spellEnd"/>
            <w:r w:rsidRPr="005E3F39">
              <w:rPr>
                <w:rFonts w:ascii="Arial" w:hAnsi="Arial" w:cs="Arial"/>
                <w:color w:val="6C6361"/>
              </w:rPr>
              <w:t xml:space="preserve"> received the Society of International Economic Law PEPA Best Paper Award 2018.  Dr. </w:t>
            </w:r>
            <w:proofErr w:type="spellStart"/>
            <w:r w:rsidRPr="005E3F39">
              <w:rPr>
                <w:rFonts w:ascii="Arial" w:hAnsi="Arial" w:cs="Arial"/>
                <w:color w:val="6C6361"/>
              </w:rPr>
              <w:t>Sejko</w:t>
            </w:r>
            <w:proofErr w:type="spellEnd"/>
            <w:r w:rsidRPr="005E3F39">
              <w:rPr>
                <w:rFonts w:ascii="Arial" w:hAnsi="Arial" w:cs="Arial"/>
                <w:color w:val="6C6361"/>
              </w:rPr>
              <w:t xml:space="preserve"> is the author of the forthcoming book "The Transnational Law of Sovereign Wealth Funds: Governing State Capitalism at the time of Protectionism" in contract with Edward Elgar Publishing and is co-editor of "The Regulation of State-Controlled Enterprises: </w:t>
            </w:r>
            <w:proofErr w:type="gramStart"/>
            <w:r w:rsidRPr="005E3F39">
              <w:rPr>
                <w:rFonts w:ascii="Arial" w:hAnsi="Arial" w:cs="Arial"/>
                <w:color w:val="6C6361"/>
              </w:rPr>
              <w:t>an</w:t>
            </w:r>
            <w:proofErr w:type="gramEnd"/>
            <w:r w:rsidRPr="005E3F39">
              <w:rPr>
                <w:rFonts w:ascii="Arial" w:hAnsi="Arial" w:cs="Arial"/>
                <w:color w:val="6C6361"/>
              </w:rPr>
              <w:t xml:space="preserve"> Interdisciplinary and Comparative Examination" published by Springer.  His research has appeared or will appear as articles in the American University International Law Review, Transnational Dispute Management, Vanderbilt Journal of Transnational Law, Israel Law Review, Global Trade and Customs Journal, and book chapters published by Springer &amp; Routledge.</w:t>
            </w:r>
          </w:p>
          <w:p w14:paraId="53A0E846" w14:textId="77777777" w:rsidR="0018480E" w:rsidRPr="00170B03" w:rsidRDefault="0018480E" w:rsidP="0018480E">
            <w:pPr>
              <w:pStyle w:val="NormalWeb"/>
              <w:spacing w:before="0" w:beforeAutospacing="0" w:after="0" w:afterAutospacing="0"/>
              <w:jc w:val="both"/>
              <w:rPr>
                <w:rFonts w:ascii="Arial" w:hAnsi="Arial" w:cs="Arial"/>
                <w:color w:val="6C6361"/>
              </w:rPr>
            </w:pPr>
          </w:p>
          <w:p w14:paraId="5EFBB825" w14:textId="77777777" w:rsidR="0018480E" w:rsidRPr="005E3F39" w:rsidRDefault="0018480E" w:rsidP="0018480E">
            <w:pPr>
              <w:pStyle w:val="NormalWeb"/>
              <w:spacing w:before="0" w:beforeAutospacing="0" w:after="0" w:afterAutospacing="0"/>
              <w:jc w:val="both"/>
              <w:rPr>
                <w:rFonts w:ascii="Arial" w:hAnsi="Arial" w:cs="Arial"/>
                <w:color w:val="6C6361"/>
              </w:rPr>
            </w:pPr>
            <w:r w:rsidRPr="005E3F39">
              <w:rPr>
                <w:rFonts w:ascii="Arial" w:hAnsi="Arial" w:cs="Arial"/>
                <w:color w:val="6C6361"/>
              </w:rPr>
              <w:t xml:space="preserve">Dr. </w:t>
            </w:r>
            <w:proofErr w:type="spellStart"/>
            <w:r w:rsidRPr="005E3F39">
              <w:rPr>
                <w:rFonts w:ascii="Arial" w:hAnsi="Arial" w:cs="Arial"/>
                <w:color w:val="6C6361"/>
              </w:rPr>
              <w:t>Sejko</w:t>
            </w:r>
            <w:proofErr w:type="spellEnd"/>
            <w:r w:rsidRPr="005E3F39">
              <w:rPr>
                <w:rFonts w:ascii="Arial" w:hAnsi="Arial" w:cs="Arial"/>
                <w:color w:val="6C6361"/>
              </w:rPr>
              <w:t xml:space="preserve"> has spoken at high-level conferences organised at Oxford University, the British Institute of International and Comparative Law, University College London, King’s College London, Peking University, etc.  He has held visiting research positions at the University of Melbourne, King’s College London, and the University of Leeds.</w:t>
            </w:r>
          </w:p>
        </w:tc>
      </w:tr>
    </w:tbl>
    <w:p w14:paraId="5EC6DEC0" w14:textId="77777777" w:rsidR="0018480E" w:rsidRDefault="0018480E" w:rsidP="0018480E">
      <w:pPr>
        <w:spacing w:line="276" w:lineRule="auto"/>
        <w:rPr>
          <w:rFonts w:ascii="Arial" w:hAnsi="Arial" w:cs="Arial"/>
          <w:sz w:val="20"/>
          <w:szCs w:val="28"/>
        </w:rPr>
      </w:pPr>
    </w:p>
    <w:tbl>
      <w:tblPr>
        <w:tblW w:w="10773" w:type="dxa"/>
        <w:jc w:val="center"/>
        <w:tblBorders>
          <w:bottom w:val="single" w:sz="12" w:space="0" w:color="FFFFFF"/>
        </w:tblBorders>
        <w:tblLook w:val="04A0" w:firstRow="1" w:lastRow="0" w:firstColumn="1" w:lastColumn="0" w:noHBand="0" w:noVBand="1"/>
      </w:tblPr>
      <w:tblGrid>
        <w:gridCol w:w="10773"/>
      </w:tblGrid>
      <w:tr w:rsidR="0018480E" w:rsidRPr="005E3F39" w14:paraId="04904769" w14:textId="77777777" w:rsidTr="009E1E79">
        <w:trPr>
          <w:trHeight w:val="2565"/>
          <w:jc w:val="center"/>
        </w:trPr>
        <w:tc>
          <w:tcPr>
            <w:tcW w:w="10773" w:type="dxa"/>
            <w:tcBorders>
              <w:top w:val="nil"/>
              <w:bottom w:val="nil"/>
            </w:tcBorders>
            <w:shd w:val="clear" w:color="auto" w:fill="FFFFFF" w:themeFill="background1"/>
            <w:vAlign w:val="center"/>
          </w:tcPr>
          <w:p w14:paraId="0E5C4358" w14:textId="77777777" w:rsidR="0018480E" w:rsidRPr="005E3F39" w:rsidRDefault="0018480E" w:rsidP="009E1E79">
            <w:pPr>
              <w:rPr>
                <w:rFonts w:ascii="Arial" w:hAnsi="Arial" w:cs="Arial"/>
                <w:color w:val="6C6361"/>
                <w:sz w:val="24"/>
                <w:szCs w:val="24"/>
              </w:rPr>
            </w:pPr>
            <w:r w:rsidRPr="005E3F39">
              <w:rPr>
                <w:rFonts w:ascii="Arial" w:hAnsi="Arial" w:cs="Arial"/>
                <w:color w:val="6C6361"/>
                <w:sz w:val="24"/>
                <w:szCs w:val="24"/>
              </w:rPr>
              <w:t>State-owned enterprises (SOEs) are prominent global actors in foreign direct investment (FDI) flows.</w:t>
            </w:r>
            <w:r>
              <w:rPr>
                <w:rFonts w:ascii="Arial" w:hAnsi="Arial" w:cs="Arial"/>
                <w:color w:val="6C6361"/>
                <w:sz w:val="24"/>
                <w:szCs w:val="24"/>
              </w:rPr>
              <w:t xml:space="preserve">  </w:t>
            </w:r>
            <w:r w:rsidRPr="005E3F39">
              <w:rPr>
                <w:rFonts w:ascii="Arial" w:hAnsi="Arial" w:cs="Arial"/>
                <w:color w:val="6C6361"/>
                <w:sz w:val="24"/>
                <w:szCs w:val="24"/>
              </w:rPr>
              <w:t>Their investments cover virtually all sectors, from the more traditional forms and industries, such as infrastructure and heavy industries, to the more dynamic and fast-growing sectors, such as tech and biomedicine.</w:t>
            </w:r>
            <w:r>
              <w:rPr>
                <w:rFonts w:ascii="Arial" w:hAnsi="Arial" w:cs="Arial"/>
                <w:color w:val="6C6361"/>
                <w:sz w:val="24"/>
                <w:szCs w:val="24"/>
              </w:rPr>
              <w:t xml:space="preserve"> </w:t>
            </w:r>
            <w:r w:rsidRPr="005E3F39">
              <w:rPr>
                <w:rFonts w:ascii="Arial" w:hAnsi="Arial" w:cs="Arial"/>
                <w:color w:val="6C6361"/>
                <w:sz w:val="24"/>
                <w:szCs w:val="24"/>
              </w:rPr>
              <w:t xml:space="preserve"> However, the close connection of SOEs with the state of origin and the geo-economic considerations attached create national security concerns that exacerbate their relationship with the investment recipient states.</w:t>
            </w:r>
            <w:r>
              <w:rPr>
                <w:rFonts w:ascii="Arial" w:hAnsi="Arial" w:cs="Arial"/>
                <w:color w:val="6C6361"/>
                <w:sz w:val="24"/>
                <w:szCs w:val="24"/>
              </w:rPr>
              <w:t xml:space="preserve"> </w:t>
            </w:r>
            <w:r w:rsidRPr="005E3F39">
              <w:rPr>
                <w:rFonts w:ascii="Arial" w:hAnsi="Arial" w:cs="Arial"/>
                <w:color w:val="6C6361"/>
                <w:sz w:val="24"/>
                <w:szCs w:val="24"/>
              </w:rPr>
              <w:t xml:space="preserve"> Increasingly these concerns are escalating into disputes between SOEs and their partners. </w:t>
            </w:r>
            <w:r>
              <w:rPr>
                <w:rFonts w:ascii="Arial" w:hAnsi="Arial" w:cs="Arial"/>
                <w:color w:val="6C6361"/>
                <w:sz w:val="24"/>
                <w:szCs w:val="24"/>
              </w:rPr>
              <w:t xml:space="preserve"> </w:t>
            </w:r>
            <w:r w:rsidRPr="005E3F39">
              <w:rPr>
                <w:rFonts w:ascii="Arial" w:hAnsi="Arial" w:cs="Arial"/>
                <w:color w:val="6C6361"/>
                <w:sz w:val="24"/>
                <w:szCs w:val="24"/>
              </w:rPr>
              <w:t>Disputes can take different forms, but it is of notice that in the past decade, there has been a spike in SOEs using international investment arbitration to solve their disputes.</w:t>
            </w:r>
          </w:p>
        </w:tc>
      </w:tr>
    </w:tbl>
    <w:p w14:paraId="2E1042B7" w14:textId="77777777" w:rsidR="0018480E" w:rsidRPr="0018480E" w:rsidRDefault="0018480E" w:rsidP="0018480E">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18480E" w:rsidRPr="005E3F39" w14:paraId="592FA2E7" w14:textId="77777777" w:rsidTr="009E1E79">
        <w:trPr>
          <w:trHeight w:val="1418"/>
          <w:jc w:val="center"/>
        </w:trPr>
        <w:tc>
          <w:tcPr>
            <w:tcW w:w="10773" w:type="dxa"/>
            <w:tcBorders>
              <w:top w:val="nil"/>
              <w:bottom w:val="nil"/>
            </w:tcBorders>
            <w:shd w:val="clear" w:color="auto" w:fill="FFFFFF" w:themeFill="background1"/>
            <w:vAlign w:val="center"/>
          </w:tcPr>
          <w:p w14:paraId="40DC2977" w14:textId="77777777" w:rsidR="0018480E" w:rsidRPr="005E3F39" w:rsidRDefault="0018480E" w:rsidP="009E1E79">
            <w:pPr>
              <w:rPr>
                <w:rFonts w:ascii="Arial" w:hAnsi="Arial" w:cs="Arial"/>
                <w:b/>
                <w:color w:val="6C6361"/>
                <w:sz w:val="24"/>
                <w:szCs w:val="24"/>
              </w:rPr>
            </w:pPr>
            <w:r w:rsidRPr="005E3F39">
              <w:rPr>
                <w:rFonts w:ascii="Arial" w:hAnsi="Arial" w:cs="Arial"/>
                <w:color w:val="6C6361"/>
                <w:sz w:val="24"/>
                <w:szCs w:val="24"/>
              </w:rPr>
              <w:lastRenderedPageBreak/>
              <w:t>This course reviews the different dispute resolution options for SOE focusing on international investment arbitration.</w:t>
            </w:r>
            <w:r>
              <w:rPr>
                <w:rFonts w:ascii="Arial" w:hAnsi="Arial" w:cs="Arial"/>
                <w:color w:val="6C6361"/>
                <w:sz w:val="24"/>
                <w:szCs w:val="24"/>
              </w:rPr>
              <w:t xml:space="preserve"> </w:t>
            </w:r>
            <w:r w:rsidRPr="005E3F39">
              <w:rPr>
                <w:rFonts w:ascii="Arial" w:hAnsi="Arial" w:cs="Arial"/>
                <w:color w:val="6C6361"/>
                <w:sz w:val="24"/>
                <w:szCs w:val="24"/>
              </w:rPr>
              <w:t xml:space="preserve"> The course examines in detail the application of different arbitration rules to SOEs assessing differences between the International Centre for Settlement of Investment Disputes (ICSID) and non-ICSID arbitration.</w:t>
            </w:r>
          </w:p>
        </w:tc>
      </w:tr>
      <w:tr w:rsidR="0018480E" w:rsidRPr="005E3F39" w14:paraId="1A64FF5C" w14:textId="77777777" w:rsidTr="009E1E79">
        <w:trPr>
          <w:trHeight w:val="397"/>
          <w:jc w:val="center"/>
        </w:trPr>
        <w:tc>
          <w:tcPr>
            <w:tcW w:w="10773" w:type="dxa"/>
            <w:tcBorders>
              <w:top w:val="nil"/>
              <w:bottom w:val="nil"/>
            </w:tcBorders>
            <w:shd w:val="clear" w:color="auto" w:fill="F0EBE1"/>
            <w:vAlign w:val="center"/>
          </w:tcPr>
          <w:p w14:paraId="13896E9B" w14:textId="77777777" w:rsidR="0018480E" w:rsidRPr="005E3F39" w:rsidRDefault="0018480E" w:rsidP="009E1E79">
            <w:pPr>
              <w:rPr>
                <w:rFonts w:ascii="Arial" w:hAnsi="Arial" w:cs="Arial"/>
                <w:b/>
                <w:color w:val="524B48"/>
                <w:sz w:val="24"/>
                <w:szCs w:val="24"/>
              </w:rPr>
            </w:pPr>
            <w:r w:rsidRPr="005E3F39">
              <w:rPr>
                <w:rFonts w:ascii="Arial" w:hAnsi="Arial" w:cs="Arial"/>
                <w:b/>
                <w:color w:val="524B48"/>
                <w:sz w:val="24"/>
                <w:szCs w:val="24"/>
              </w:rPr>
              <w:t>The course is organised as follows:</w:t>
            </w:r>
          </w:p>
        </w:tc>
      </w:tr>
      <w:tr w:rsidR="0018480E" w:rsidRPr="005E3F39" w14:paraId="53B23F23" w14:textId="77777777" w:rsidTr="009E1E79">
        <w:trPr>
          <w:trHeight w:val="4420"/>
          <w:jc w:val="center"/>
        </w:trPr>
        <w:tc>
          <w:tcPr>
            <w:tcW w:w="10773" w:type="dxa"/>
            <w:tcBorders>
              <w:top w:val="nil"/>
              <w:bottom w:val="nil"/>
            </w:tcBorders>
            <w:shd w:val="clear" w:color="auto" w:fill="FFFFFF"/>
            <w:vAlign w:val="center"/>
          </w:tcPr>
          <w:p w14:paraId="2FA5381A"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rFonts w:ascii="Arial" w:hAnsi="Arial" w:cs="Arial"/>
                <w:color w:val="6C6361"/>
                <w:sz w:val="24"/>
                <w:szCs w:val="24"/>
              </w:rPr>
              <w:t>Concept of SOEs</w:t>
            </w:r>
          </w:p>
          <w:p w14:paraId="70660274"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rFonts w:ascii="Arial" w:hAnsi="Arial" w:cs="Arial"/>
                <w:color w:val="6C6361"/>
                <w:sz w:val="24"/>
                <w:szCs w:val="24"/>
              </w:rPr>
              <w:t>Dispute resolution mechanisms available to SOEs</w:t>
            </w:r>
          </w:p>
          <w:p w14:paraId="14790126"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rFonts w:ascii="Arial" w:hAnsi="Arial" w:cs="Arial"/>
                <w:color w:val="6C6361"/>
                <w:sz w:val="24"/>
                <w:szCs w:val="24"/>
              </w:rPr>
              <w:t>World Trade Law and WTO disputes</w:t>
            </w:r>
          </w:p>
          <w:p w14:paraId="012DBC97"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rFonts w:ascii="Arial" w:hAnsi="Arial" w:cs="Arial"/>
                <w:color w:val="6C6361"/>
                <w:sz w:val="24"/>
                <w:szCs w:val="24"/>
              </w:rPr>
              <w:t>International commercial arbitration</w:t>
            </w:r>
          </w:p>
          <w:p w14:paraId="52A89FA8"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rFonts w:ascii="Arial" w:hAnsi="Arial" w:cs="Arial"/>
                <w:color w:val="6C6361"/>
                <w:sz w:val="24"/>
                <w:szCs w:val="24"/>
              </w:rPr>
              <w:t>Investment disputes</w:t>
            </w:r>
          </w:p>
          <w:p w14:paraId="2A01CFB8"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rFonts w:ascii="Arial" w:hAnsi="Arial" w:cs="Arial"/>
                <w:color w:val="6C6361"/>
                <w:sz w:val="24"/>
                <w:szCs w:val="24"/>
              </w:rPr>
              <w:t>SOEs in investment treaties</w:t>
            </w:r>
          </w:p>
          <w:p w14:paraId="228A8310"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rFonts w:ascii="Arial" w:hAnsi="Arial" w:cs="Arial"/>
                <w:color w:val="6C6361"/>
                <w:sz w:val="24"/>
                <w:szCs w:val="24"/>
              </w:rPr>
              <w:t>ICSID and non-ICSID arbitration</w:t>
            </w:r>
          </w:p>
          <w:p w14:paraId="36D2BFA6"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rFonts w:ascii="Arial" w:hAnsi="Arial" w:cs="Arial"/>
                <w:color w:val="6C6361"/>
                <w:sz w:val="24"/>
                <w:szCs w:val="24"/>
              </w:rPr>
              <w:t xml:space="preserve">Art. 25 ICSID </w:t>
            </w:r>
            <w:r>
              <w:rPr>
                <w:rFonts w:ascii="Arial" w:hAnsi="Arial" w:cs="Arial"/>
                <w:color w:val="6C6361"/>
                <w:sz w:val="24"/>
                <w:szCs w:val="24"/>
              </w:rPr>
              <w:t>-</w:t>
            </w:r>
            <w:r w:rsidRPr="005E3F39">
              <w:rPr>
                <w:rFonts w:ascii="Arial" w:hAnsi="Arial" w:cs="Arial"/>
                <w:color w:val="6C6361"/>
                <w:sz w:val="24"/>
                <w:szCs w:val="24"/>
              </w:rPr>
              <w:t xml:space="preserve"> a threshold to SOE?</w:t>
            </w:r>
          </w:p>
          <w:p w14:paraId="4E0F1E0B"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noProof/>
                <w:sz w:val="24"/>
                <w:szCs w:val="24"/>
              </w:rPr>
              <w:drawing>
                <wp:anchor distT="0" distB="0" distL="114300" distR="114300" simplePos="0" relativeHeight="251660288" behindDoc="0" locked="0" layoutInCell="1" allowOverlap="1" wp14:anchorId="1887E624" wp14:editId="3094A428">
                  <wp:simplePos x="0" y="0"/>
                  <wp:positionH relativeFrom="column">
                    <wp:posOffset>5766435</wp:posOffset>
                  </wp:positionH>
                  <wp:positionV relativeFrom="paragraph">
                    <wp:posOffset>163195</wp:posOffset>
                  </wp:positionV>
                  <wp:extent cx="892175" cy="1020445"/>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175" cy="1020445"/>
                          </a:xfrm>
                          <a:prstGeom prst="rect">
                            <a:avLst/>
                          </a:prstGeom>
                        </pic:spPr>
                      </pic:pic>
                    </a:graphicData>
                  </a:graphic>
                  <wp14:sizeRelH relativeFrom="margin">
                    <wp14:pctWidth>0</wp14:pctWidth>
                  </wp14:sizeRelH>
                  <wp14:sizeRelV relativeFrom="margin">
                    <wp14:pctHeight>0</wp14:pctHeight>
                  </wp14:sizeRelV>
                </wp:anchor>
              </w:drawing>
            </w:r>
            <w:r w:rsidRPr="005E3F39">
              <w:rPr>
                <w:rFonts w:ascii="Arial" w:hAnsi="Arial" w:cs="Arial"/>
                <w:color w:val="6C6361"/>
                <w:sz w:val="24"/>
                <w:szCs w:val="24"/>
              </w:rPr>
              <w:t xml:space="preserve">Examining the case law and </w:t>
            </w:r>
            <w:r w:rsidRPr="005E3F39">
              <w:rPr>
                <w:rFonts w:ascii="Arial" w:hAnsi="Arial" w:cs="Arial"/>
                <w:i/>
                <w:iCs/>
                <w:color w:val="6C6361"/>
                <w:sz w:val="24"/>
                <w:szCs w:val="24"/>
              </w:rPr>
              <w:t xml:space="preserve">Jurisprudence </w:t>
            </w:r>
            <w:proofErr w:type="spellStart"/>
            <w:r w:rsidRPr="005E3F39">
              <w:rPr>
                <w:rFonts w:ascii="Arial" w:hAnsi="Arial" w:cs="Arial"/>
                <w:i/>
                <w:iCs/>
                <w:color w:val="6C6361"/>
                <w:sz w:val="24"/>
                <w:szCs w:val="24"/>
              </w:rPr>
              <w:t>constante</w:t>
            </w:r>
            <w:proofErr w:type="spellEnd"/>
          </w:p>
          <w:p w14:paraId="35006490"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rFonts w:ascii="Arial" w:hAnsi="Arial" w:cs="Arial"/>
                <w:color w:val="6C6361"/>
                <w:sz w:val="24"/>
                <w:szCs w:val="24"/>
              </w:rPr>
              <w:t>Attributing SOEs act to the state of origin</w:t>
            </w:r>
          </w:p>
          <w:p w14:paraId="6B1EB69C" w14:textId="77777777" w:rsidR="0018480E" w:rsidRPr="005E3F39" w:rsidRDefault="0018480E" w:rsidP="009E1E79">
            <w:pPr>
              <w:pStyle w:val="ListParagraph"/>
              <w:numPr>
                <w:ilvl w:val="1"/>
                <w:numId w:val="2"/>
              </w:numPr>
              <w:rPr>
                <w:rFonts w:ascii="Arial" w:hAnsi="Arial" w:cs="Arial"/>
                <w:color w:val="6C6361"/>
                <w:sz w:val="24"/>
                <w:szCs w:val="24"/>
              </w:rPr>
            </w:pPr>
            <w:r w:rsidRPr="005E3F39">
              <w:rPr>
                <w:rFonts w:ascii="Arial" w:hAnsi="Arial" w:cs="Arial"/>
                <w:color w:val="6C6361"/>
                <w:sz w:val="24"/>
                <w:szCs w:val="24"/>
              </w:rPr>
              <w:t>The role of Customary International Law and articles of innovative approaches and instruments to assess the owner’s role in sovereign investors’ transactions and prevent distortions of the Centre’s jurisdiction</w:t>
            </w:r>
          </w:p>
          <w:p w14:paraId="145077C2"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rFonts w:ascii="Arial" w:hAnsi="Arial" w:cs="Arial"/>
                <w:color w:val="6C6361"/>
                <w:sz w:val="24"/>
                <w:szCs w:val="24"/>
              </w:rPr>
              <w:t>Concluding remarks</w:t>
            </w:r>
          </w:p>
          <w:p w14:paraId="6E0F1555" w14:textId="77777777" w:rsidR="0018480E" w:rsidRPr="005E3F39" w:rsidRDefault="0018480E" w:rsidP="009E1E79">
            <w:pPr>
              <w:pStyle w:val="ListParagraph"/>
              <w:numPr>
                <w:ilvl w:val="0"/>
                <w:numId w:val="2"/>
              </w:numPr>
              <w:rPr>
                <w:rFonts w:ascii="Arial" w:hAnsi="Arial" w:cs="Arial"/>
                <w:color w:val="6C6361"/>
                <w:sz w:val="24"/>
                <w:szCs w:val="24"/>
              </w:rPr>
            </w:pPr>
            <w:r w:rsidRPr="005E3F39">
              <w:rPr>
                <w:rFonts w:ascii="Arial" w:hAnsi="Arial" w:cs="Arial"/>
                <w:color w:val="6C6361"/>
                <w:sz w:val="24"/>
                <w:szCs w:val="24"/>
              </w:rPr>
              <w:t>Discussion</w:t>
            </w:r>
          </w:p>
        </w:tc>
      </w:tr>
    </w:tbl>
    <w:p w14:paraId="08118604" w14:textId="77777777" w:rsidR="0018480E" w:rsidRPr="00C64D42" w:rsidRDefault="0018480E" w:rsidP="00680C81">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2892"/>
        <w:gridCol w:w="794"/>
        <w:gridCol w:w="1701"/>
        <w:gridCol w:w="2370"/>
        <w:gridCol w:w="1315"/>
      </w:tblGrid>
      <w:tr w:rsidR="0018480E" w:rsidRPr="00320F79" w14:paraId="04B38319" w14:textId="77777777" w:rsidTr="00C64D42">
        <w:trPr>
          <w:trHeight w:val="397"/>
          <w:jc w:val="center"/>
        </w:trPr>
        <w:tc>
          <w:tcPr>
            <w:tcW w:w="1700" w:type="dxa"/>
            <w:tcBorders>
              <w:top w:val="nil"/>
              <w:left w:val="nil"/>
              <w:bottom w:val="single" w:sz="12" w:space="0" w:color="FFFFFF"/>
            </w:tcBorders>
            <w:shd w:val="clear" w:color="auto" w:fill="F0EBE1"/>
            <w:vAlign w:val="center"/>
          </w:tcPr>
          <w:p w14:paraId="7274353E" w14:textId="4E8AE48C" w:rsidR="0018480E" w:rsidRPr="00320F79"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6" w:type="dxa"/>
            <w:gridSpan w:val="2"/>
            <w:tcBorders>
              <w:top w:val="nil"/>
              <w:bottom w:val="single" w:sz="12" w:space="0" w:color="F0EBE1"/>
            </w:tcBorders>
            <w:shd w:val="clear" w:color="auto" w:fill="FFFFFF"/>
            <w:vAlign w:val="center"/>
          </w:tcPr>
          <w:p w14:paraId="6F2B86EE" w14:textId="50DCC393" w:rsidR="0018480E" w:rsidRPr="00320F79"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EVT000000385</w:t>
            </w:r>
          </w:p>
        </w:tc>
        <w:tc>
          <w:tcPr>
            <w:tcW w:w="1701" w:type="dxa"/>
            <w:tcBorders>
              <w:top w:val="nil"/>
              <w:bottom w:val="single" w:sz="12" w:space="0" w:color="FFFFFF"/>
            </w:tcBorders>
            <w:shd w:val="clear" w:color="auto" w:fill="F0EBE1"/>
            <w:vAlign w:val="center"/>
          </w:tcPr>
          <w:p w14:paraId="73E43897" w14:textId="1976FF94" w:rsidR="0018480E" w:rsidRPr="00320F79"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4062B2F8" w:rsidR="0018480E" w:rsidRPr="00320F79"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18480E" w:rsidRPr="00320F79" w14:paraId="15943B38"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5B8F9E5" w14:textId="200C0EA3" w:rsidR="0018480E" w:rsidRPr="00320F79"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6" w:type="dxa"/>
            <w:gridSpan w:val="2"/>
            <w:tcBorders>
              <w:top w:val="single" w:sz="12" w:space="0" w:color="F0EBE1"/>
              <w:bottom w:val="single" w:sz="12" w:space="0" w:color="F0EBE1"/>
            </w:tcBorders>
            <w:shd w:val="clear" w:color="auto" w:fill="FFFFFF"/>
            <w:vAlign w:val="center"/>
          </w:tcPr>
          <w:p w14:paraId="5457BFA6" w14:textId="0149FB43" w:rsidR="0018480E" w:rsidRPr="00320F79"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30 August 2023 (Wednesday) (Amended)</w:t>
            </w:r>
          </w:p>
        </w:tc>
        <w:tc>
          <w:tcPr>
            <w:tcW w:w="1701" w:type="dxa"/>
            <w:tcBorders>
              <w:top w:val="single" w:sz="12" w:space="0" w:color="FFFFFF"/>
              <w:bottom w:val="single" w:sz="12" w:space="0" w:color="FFFFFF"/>
            </w:tcBorders>
            <w:shd w:val="clear" w:color="auto" w:fill="F0EBE1"/>
            <w:vAlign w:val="center"/>
          </w:tcPr>
          <w:p w14:paraId="45602E14" w14:textId="3A23D11D" w:rsidR="0018480E" w:rsidRPr="00320F79"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D488E3" w14:textId="05AC7695" w:rsidR="0018480E" w:rsidRPr="00320F79"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18480E" w:rsidRPr="00320F79" w14:paraId="3886E919"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2B08325" w14:textId="7B294015" w:rsidR="0018480E" w:rsidRPr="00320F79"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6" w:type="dxa"/>
            <w:gridSpan w:val="2"/>
            <w:tcBorders>
              <w:top w:val="single" w:sz="12" w:space="0" w:color="F0EBE1"/>
              <w:bottom w:val="single" w:sz="12" w:space="0" w:color="F0EBE1"/>
            </w:tcBorders>
            <w:shd w:val="clear" w:color="auto" w:fill="FFFFFF"/>
            <w:vAlign w:val="center"/>
          </w:tcPr>
          <w:p w14:paraId="3AAD4AD6" w14:textId="77777777" w:rsidR="0018480E" w:rsidRPr="000762CF"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 xml:space="preserve">:30 - </w:t>
            </w:r>
            <w:r>
              <w:rPr>
                <w:rFonts w:ascii="Arial" w:hAnsi="Arial" w:cs="Arial"/>
                <w:b/>
                <w:color w:val="6C6361"/>
                <w:sz w:val="20"/>
                <w:szCs w:val="20"/>
              </w:rPr>
              <w:t>17</w:t>
            </w:r>
            <w:r w:rsidRPr="000762CF">
              <w:rPr>
                <w:rFonts w:ascii="Arial" w:hAnsi="Arial" w:cs="Arial"/>
                <w:b/>
                <w:color w:val="6C6361"/>
                <w:sz w:val="20"/>
                <w:szCs w:val="20"/>
              </w:rPr>
              <w:t>:45</w:t>
            </w:r>
          </w:p>
          <w:p w14:paraId="4B2B2D30" w14:textId="251CCE55" w:rsidR="0018480E" w:rsidRPr="00320F79"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527173B6" w14:textId="57241AC5" w:rsidR="0018480E" w:rsidRPr="00320F79"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570EED2" w14:textId="3AF78208" w:rsidR="0018480E" w:rsidRPr="00E843DA" w:rsidRDefault="0018480E" w:rsidP="00184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 xml:space="preserve">3.0 </w:t>
            </w:r>
            <w:r w:rsidRPr="000762CF">
              <w:rPr>
                <w:rFonts w:ascii="Arial" w:hAnsi="Arial" w:cs="Arial"/>
                <w:b/>
                <w:color w:val="6C6361"/>
                <w:sz w:val="20"/>
                <w:szCs w:val="20"/>
              </w:rPr>
              <w:t>CPD Points</w:t>
            </w:r>
          </w:p>
        </w:tc>
      </w:tr>
      <w:tr w:rsidR="00546F8F" w:rsidRPr="00320F79" w14:paraId="25CE703A" w14:textId="77777777" w:rsidTr="00C64D42">
        <w:trPr>
          <w:trHeight w:val="284"/>
          <w:jc w:val="center"/>
        </w:trPr>
        <w:tc>
          <w:tcPr>
            <w:tcW w:w="1700" w:type="dxa"/>
            <w:tcBorders>
              <w:top w:val="single" w:sz="12" w:space="0" w:color="FFFFFF"/>
              <w:left w:val="nil"/>
              <w:bottom w:val="nil"/>
            </w:tcBorders>
            <w:shd w:val="clear" w:color="auto" w:fill="F0EBE1"/>
            <w:vAlign w:val="center"/>
          </w:tcPr>
          <w:p w14:paraId="2AA932C2" w14:textId="4F30AE2E"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2" w:type="dxa"/>
            <w:tcBorders>
              <w:top w:val="single" w:sz="12" w:space="0" w:color="F0EBE1"/>
              <w:bottom w:val="nil"/>
              <w:right w:val="nil"/>
            </w:tcBorders>
            <w:shd w:val="clear" w:color="auto" w:fill="FFFFFF"/>
            <w:vAlign w:val="center"/>
          </w:tcPr>
          <w:p w14:paraId="50306B62" w14:textId="77777777" w:rsidR="00546F8F"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C9478D9" w14:textId="77777777" w:rsidR="00546F8F" w:rsidRPr="002D6743"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6ED0C67" w14:textId="77777777" w:rsidR="00546F8F" w:rsidRPr="00B90951"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F0190BB"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A1A0A16"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80D0BAD" w14:textId="7401B1A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5B6EA020" w14:textId="77777777" w:rsidR="00546F8F" w:rsidRPr="004A2263" w:rsidRDefault="00546F8F" w:rsidP="00546F8F">
            <w:pPr>
              <w:jc w:val="left"/>
              <w:rPr>
                <w:rFonts w:ascii="Arial" w:hAnsi="Arial" w:cs="Arial"/>
                <w:b/>
                <w:color w:val="6C6361"/>
                <w:sz w:val="20"/>
                <w:szCs w:val="20"/>
              </w:rPr>
            </w:pPr>
          </w:p>
          <w:p w14:paraId="65BC0F7F" w14:textId="77777777" w:rsidR="00546F8F" w:rsidRPr="004A2263" w:rsidRDefault="00546F8F" w:rsidP="00546F8F">
            <w:pPr>
              <w:jc w:val="left"/>
              <w:rPr>
                <w:rFonts w:ascii="Arial" w:hAnsi="Arial" w:cs="Arial"/>
                <w:b/>
                <w:color w:val="6C6361"/>
                <w:sz w:val="20"/>
                <w:szCs w:val="20"/>
              </w:rPr>
            </w:pPr>
          </w:p>
          <w:p w14:paraId="7AAB5533" w14:textId="77777777" w:rsidR="00546F8F" w:rsidRPr="004A2263" w:rsidRDefault="00546F8F" w:rsidP="00546F8F">
            <w:pPr>
              <w:jc w:val="left"/>
              <w:rPr>
                <w:rFonts w:ascii="Arial" w:hAnsi="Arial" w:cs="Arial"/>
                <w:b/>
                <w:color w:val="6C6361"/>
                <w:sz w:val="20"/>
                <w:szCs w:val="20"/>
              </w:rPr>
            </w:pPr>
          </w:p>
          <w:p w14:paraId="7FE538F2" w14:textId="4E8F14A5" w:rsidR="00546F8F" w:rsidRPr="004A2263" w:rsidRDefault="00546F8F" w:rsidP="00546F8F">
            <w:pPr>
              <w:jc w:val="left"/>
              <w:rPr>
                <w:rFonts w:ascii="Arial" w:hAnsi="Arial" w:cs="Arial"/>
                <w:b/>
                <w:color w:val="6C6361"/>
                <w:sz w:val="20"/>
                <w:szCs w:val="20"/>
              </w:rPr>
            </w:pPr>
            <w:r w:rsidRPr="004A2263">
              <w:rPr>
                <w:rFonts w:ascii="Arial" w:hAnsi="Arial" w:cs="Arial"/>
                <w:b/>
                <w:noProof/>
                <w:color w:val="6C6361"/>
                <w:sz w:val="20"/>
                <w:szCs w:val="20"/>
              </w:rPr>
              <w:drawing>
                <wp:inline distT="0" distB="0" distL="0" distR="0" wp14:anchorId="377014E9" wp14:editId="61DF04F6">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6785C576" w14:textId="4BF48D80"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0466A76F"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546F8F" w:rsidRPr="00156567"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95478" w14:textId="77777777" w:rsidR="00B35B78" w:rsidRDefault="00B35B78" w:rsidP="00546556">
      <w:r>
        <w:separator/>
      </w:r>
    </w:p>
  </w:endnote>
  <w:endnote w:type="continuationSeparator" w:id="0">
    <w:p w14:paraId="35FAF167" w14:textId="77777777" w:rsidR="00B35B78" w:rsidRDefault="00B35B7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536BC" w14:textId="77777777" w:rsidR="00B35B78" w:rsidRDefault="00B35B78" w:rsidP="00546556">
      <w:r>
        <w:separator/>
      </w:r>
    </w:p>
  </w:footnote>
  <w:footnote w:type="continuationSeparator" w:id="0">
    <w:p w14:paraId="07D2326A" w14:textId="77777777" w:rsidR="00B35B78" w:rsidRDefault="00B35B78"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0536A29"/>
    <w:multiLevelType w:val="hybridMultilevel"/>
    <w:tmpl w:val="CDC82D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4B956C9"/>
    <w:multiLevelType w:val="hybridMultilevel"/>
    <w:tmpl w:val="368A9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6"/>
  </w:num>
  <w:num w:numId="3">
    <w:abstractNumId w:val="13"/>
  </w:num>
  <w:num w:numId="4">
    <w:abstractNumId w:val="3"/>
  </w:num>
  <w:num w:numId="5">
    <w:abstractNumId w:val="5"/>
  </w:num>
  <w:num w:numId="6">
    <w:abstractNumId w:val="15"/>
  </w:num>
  <w:num w:numId="7">
    <w:abstractNumId w:val="4"/>
  </w:num>
  <w:num w:numId="8">
    <w:abstractNumId w:val="16"/>
  </w:num>
  <w:num w:numId="9">
    <w:abstractNumId w:val="17"/>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1"/>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aWtIEBQHclY5qITrWhbXVSyaVqkLn4CJR3r8bnfimQeNhxjhcnaK1xXcpM94pYbmuOIKC708PEI0P4v/7apoOg==" w:salt="tx4i0rOa5ASfVfwp2/obr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5BE1"/>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A5"/>
    <w:rsid w:val="000871C4"/>
    <w:rsid w:val="00087410"/>
    <w:rsid w:val="00087794"/>
    <w:rsid w:val="00087C4E"/>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480E"/>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77E3F"/>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6FE5"/>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B8B"/>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DCC"/>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8B"/>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31D"/>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32A5"/>
    <w:rsid w:val="009F5A7C"/>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2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32F2"/>
    <w:rsid w:val="00B3469A"/>
    <w:rsid w:val="00B35B78"/>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133"/>
    <w:rsid w:val="00BA38C5"/>
    <w:rsid w:val="00BA43C2"/>
    <w:rsid w:val="00BA7425"/>
    <w:rsid w:val="00BA7696"/>
    <w:rsid w:val="00BA79F2"/>
    <w:rsid w:val="00BB0852"/>
    <w:rsid w:val="00BB150A"/>
    <w:rsid w:val="00BB3358"/>
    <w:rsid w:val="00BB50BC"/>
    <w:rsid w:val="00BB6FBA"/>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108"/>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4D42"/>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1FF"/>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018/"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8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CPD Course, RME Elective Course: Oaths, Affidavits and Declarations: Local and Foreign Issues</vt:lpstr>
    </vt:vector>
  </TitlesOfParts>
  <Manager>Tyrone Tsang</Manager>
  <Company>The Profectional Company Limited</Company>
  <LinksUpToDate>false</LinksUpToDate>
  <CharactersWithSpaces>4267</CharactersWithSpaces>
  <SharedDoc>false</SharedDoc>
  <HyperlinkBase>http://download.profectional.com/events/EVT000000385.docx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State-Owned Enterprises and Dispute Resolution</dc:title>
  <dc:subject>CPD Course: State-Owned Enterprises and Dispute Resolution</dc:subject>
  <dc:creator>The Profectional Company Limited</dc:creator>
  <cp:keywords>Profectional; Kornerstone; CPD; CPT; CLE; CE; RME; Dini Sejko; MCIArb; Mediator; Lecturer; Hong Kong University of Science and Technology; Business School</cp:keywords>
  <dc:description/>
  <cp:lastModifiedBy>Tyrone Tsang</cp:lastModifiedBy>
  <cp:revision>73</cp:revision>
  <cp:lastPrinted>2023-08-30T03:49:00Z</cp:lastPrinted>
  <dcterms:created xsi:type="dcterms:W3CDTF">2017-01-12T02:41:00Z</dcterms:created>
  <dcterms:modified xsi:type="dcterms:W3CDTF">2023-08-30T03:49:00Z</dcterms:modified>
  <cp:category/>
</cp:coreProperties>
</file>