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2F864" w14:textId="77777777" w:rsidR="00F435D0" w:rsidRPr="00F435D0" w:rsidRDefault="00F435D0" w:rsidP="00F435D0">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F435D0" w:rsidRPr="00523A64" w14:paraId="0FDDE387" w14:textId="77777777" w:rsidTr="001147AC">
        <w:trPr>
          <w:trHeight w:val="3119"/>
          <w:jc w:val="center"/>
        </w:trPr>
        <w:tc>
          <w:tcPr>
            <w:tcW w:w="4797" w:type="dxa"/>
            <w:shd w:val="clear" w:color="auto" w:fill="FFFFFF"/>
            <w:vAlign w:val="center"/>
          </w:tcPr>
          <w:p w14:paraId="6D80088A" w14:textId="77777777" w:rsidR="00F435D0" w:rsidRPr="001A3018" w:rsidRDefault="00F435D0" w:rsidP="001147AC">
            <w:pPr>
              <w:jc w:val="center"/>
              <w:rPr>
                <w:rFonts w:ascii="Arial" w:hAnsi="Arial" w:cs="Arial"/>
                <w:b/>
                <w:bCs/>
                <w:color w:val="524B48"/>
                <w:sz w:val="4"/>
                <w:szCs w:val="4"/>
              </w:rPr>
            </w:pPr>
          </w:p>
          <w:p w14:paraId="63D48BC5" w14:textId="77777777" w:rsidR="00F435D0" w:rsidRDefault="00F435D0" w:rsidP="001147AC">
            <w:pPr>
              <w:jc w:val="center"/>
              <w:rPr>
                <w:rStyle w:val="Hyperlink"/>
                <w:rFonts w:ascii="Arial" w:hAnsi="Arial" w:cs="Arial"/>
                <w:b/>
                <w:bCs/>
                <w:color w:val="524B48"/>
                <w:sz w:val="32"/>
                <w:szCs w:val="32"/>
                <w:u w:val="none"/>
              </w:rPr>
            </w:pPr>
            <w:r w:rsidRPr="00CF685C">
              <w:fldChar w:fldCharType="begin"/>
            </w:r>
            <w:r>
              <w:instrText>HYPERLINK "http://cpd.hk/evt000000388/"</w:instrText>
            </w:r>
            <w:r w:rsidRPr="00CF685C">
              <w:fldChar w:fldCharType="separate"/>
            </w:r>
            <w:r w:rsidRPr="003A3303">
              <w:rPr>
                <w:rStyle w:val="Hyperlink"/>
                <w:rFonts w:ascii="Arial" w:hAnsi="Arial" w:cs="Arial"/>
                <w:b/>
                <w:bCs/>
                <w:color w:val="524B48"/>
                <w:sz w:val="32"/>
                <w:szCs w:val="32"/>
                <w:u w:val="none"/>
              </w:rPr>
              <w:t>Updates on Equity</w:t>
            </w:r>
            <w:r>
              <w:rPr>
                <w:rStyle w:val="Hyperlink"/>
                <w:rFonts w:ascii="Arial" w:hAnsi="Arial" w:cs="Arial"/>
                <w:b/>
                <w:bCs/>
                <w:color w:val="524B48"/>
                <w:sz w:val="32"/>
                <w:szCs w:val="32"/>
                <w:u w:val="none"/>
              </w:rPr>
              <w:br/>
            </w:r>
            <w:r w:rsidRPr="003A3303">
              <w:rPr>
                <w:rStyle w:val="Hyperlink"/>
                <w:rFonts w:ascii="Arial" w:hAnsi="Arial" w:cs="Arial"/>
                <w:b/>
                <w:bCs/>
                <w:color w:val="524B48"/>
                <w:sz w:val="32"/>
                <w:szCs w:val="32"/>
                <w:u w:val="none"/>
              </w:rPr>
              <w:t>and Trusts 2023</w:t>
            </w:r>
          </w:p>
          <w:p w14:paraId="6C02E54C" w14:textId="77777777" w:rsidR="00F435D0" w:rsidRPr="00C65AFD" w:rsidRDefault="00F435D0" w:rsidP="001147AC">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4623818E" w14:textId="77777777" w:rsidR="00F435D0" w:rsidRPr="00C65AFD" w:rsidRDefault="00F435D0" w:rsidP="001147AC">
            <w:pPr>
              <w:jc w:val="center"/>
              <w:rPr>
                <w:rFonts w:ascii="Arial" w:hAnsi="Arial" w:cs="Arial"/>
                <w:i/>
                <w:color w:val="6C6361"/>
                <w:sz w:val="24"/>
                <w:szCs w:val="24"/>
              </w:rPr>
            </w:pPr>
            <w:r w:rsidRPr="00C65AFD">
              <w:rPr>
                <w:rFonts w:ascii="Arial" w:hAnsi="Arial" w:cs="Arial"/>
                <w:i/>
                <w:color w:val="6C6361"/>
                <w:sz w:val="24"/>
                <w:szCs w:val="24"/>
              </w:rPr>
              <w:t>by</w:t>
            </w:r>
          </w:p>
          <w:p w14:paraId="5B2E029F" w14:textId="77777777" w:rsidR="00F435D0" w:rsidRDefault="00F435D0" w:rsidP="001147AC">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0F276608" w14:textId="77777777" w:rsidR="00F435D0" w:rsidRDefault="00F435D0" w:rsidP="001147AC">
            <w:pPr>
              <w:jc w:val="center"/>
              <w:rPr>
                <w:rFonts w:ascii="Arial" w:hAnsi="Arial" w:cs="Arial"/>
                <w:color w:val="6C6361"/>
                <w:sz w:val="24"/>
                <w:szCs w:val="24"/>
              </w:rPr>
            </w:pPr>
            <w:r>
              <w:rPr>
                <w:rFonts w:ascii="Arial" w:hAnsi="Arial" w:cs="Arial"/>
                <w:color w:val="6C6361"/>
                <w:sz w:val="24"/>
                <w:szCs w:val="24"/>
              </w:rPr>
              <w:t>Professor of Practice in Law,</w:t>
            </w:r>
          </w:p>
          <w:p w14:paraId="7581F354" w14:textId="77777777" w:rsidR="00F435D0" w:rsidRDefault="00F435D0" w:rsidP="001147AC">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w:t>
            </w:r>
          </w:p>
          <w:p w14:paraId="1560E716" w14:textId="77777777" w:rsidR="00F435D0" w:rsidRDefault="00F435D0" w:rsidP="001147AC">
            <w:pPr>
              <w:jc w:val="center"/>
              <w:rPr>
                <w:rFonts w:ascii="Arial" w:hAnsi="Arial" w:cs="Arial"/>
                <w:color w:val="6C6361"/>
                <w:sz w:val="24"/>
                <w:szCs w:val="24"/>
              </w:rPr>
            </w:pPr>
            <w:r>
              <w:rPr>
                <w:rFonts w:ascii="Arial" w:hAnsi="Arial" w:cs="Arial"/>
                <w:color w:val="6C6361"/>
                <w:sz w:val="24"/>
                <w:szCs w:val="24"/>
              </w:rPr>
              <w:t>(Academic &amp; Student Affairs),</w:t>
            </w:r>
          </w:p>
          <w:p w14:paraId="418DFD5A" w14:textId="77777777" w:rsidR="00F435D0" w:rsidRDefault="00F435D0" w:rsidP="001147AC">
            <w:pPr>
              <w:jc w:val="center"/>
              <w:rPr>
                <w:rFonts w:ascii="Arial" w:hAnsi="Arial" w:cs="Arial"/>
                <w:color w:val="6C6361"/>
                <w:sz w:val="24"/>
                <w:szCs w:val="24"/>
              </w:rPr>
            </w:pPr>
            <w:r>
              <w:rPr>
                <w:rFonts w:ascii="Arial" w:hAnsi="Arial" w:cs="Arial"/>
                <w:color w:val="6C6361"/>
                <w:sz w:val="24"/>
                <w:szCs w:val="24"/>
              </w:rPr>
              <w:t>The Faculty of Law,</w:t>
            </w:r>
          </w:p>
          <w:p w14:paraId="7F3D2EAC" w14:textId="77777777" w:rsidR="00F435D0" w:rsidRPr="007E02E6" w:rsidRDefault="00F435D0" w:rsidP="001147AC">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6934798A" w14:textId="77777777" w:rsidR="00F435D0" w:rsidRPr="00D87ECF" w:rsidRDefault="00F435D0" w:rsidP="001147AC">
            <w:pPr>
              <w:jc w:val="center"/>
              <w:rPr>
                <w:rFonts w:ascii="Arial" w:hAnsi="Arial" w:cs="Arial"/>
                <w:color w:val="6C6361"/>
                <w:sz w:val="8"/>
                <w:szCs w:val="8"/>
              </w:rPr>
            </w:pPr>
          </w:p>
        </w:tc>
        <w:tc>
          <w:tcPr>
            <w:tcW w:w="5976" w:type="dxa"/>
            <w:shd w:val="clear" w:color="auto" w:fill="FFFFFF"/>
            <w:vAlign w:val="center"/>
          </w:tcPr>
          <w:p w14:paraId="1D27831E" w14:textId="77777777" w:rsidR="00F435D0" w:rsidRPr="00D50772" w:rsidRDefault="00F435D0" w:rsidP="001147AC">
            <w:pPr>
              <w:spacing w:line="276" w:lineRule="auto"/>
              <w:rPr>
                <w:rFonts w:ascii="Arial" w:eastAsia="Times New Roman" w:hAnsi="Arial" w:cs="Arial"/>
                <w:noProof/>
                <w:sz w:val="20"/>
                <w:szCs w:val="20"/>
              </w:rPr>
            </w:pPr>
            <w:r w:rsidRPr="00D831F0">
              <w:rPr>
                <w:rFonts w:ascii="Arial" w:eastAsia="Times New Roman" w:hAnsi="Arial" w:cs="Arial"/>
                <w:noProof/>
                <w:sz w:val="20"/>
                <w:szCs w:val="20"/>
              </w:rPr>
              <w:drawing>
                <wp:anchor distT="0" distB="0" distL="114300" distR="114300" simplePos="0" relativeHeight="251659264" behindDoc="0" locked="0" layoutInCell="1" allowOverlap="1" wp14:anchorId="7EC4717B" wp14:editId="5142737E">
                  <wp:simplePos x="0" y="0"/>
                  <wp:positionH relativeFrom="column">
                    <wp:posOffset>3186430</wp:posOffset>
                  </wp:positionH>
                  <wp:positionV relativeFrom="paragraph">
                    <wp:posOffset>-41910</wp:posOffset>
                  </wp:positionV>
                  <wp:extent cx="539750" cy="539750"/>
                  <wp:effectExtent l="0" t="0" r="6350" b="6350"/>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D5593B1" wp14:editId="570FF538">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14:paraId="4E6E6C69" w14:textId="77777777" w:rsidR="00F435D0" w:rsidRPr="00F33BE6" w:rsidRDefault="00F435D0" w:rsidP="00F435D0">
      <w:pPr>
        <w:spacing w:line="276" w:lineRule="auto"/>
        <w:jc w:val="left"/>
        <w:rPr>
          <w:rFonts w:ascii="Arial" w:hAnsi="Arial" w:cs="Arial"/>
          <w:sz w:val="20"/>
          <w:szCs w:val="14"/>
        </w:rPr>
      </w:pPr>
    </w:p>
    <w:tbl>
      <w:tblPr>
        <w:tblW w:w="10773" w:type="dxa"/>
        <w:jc w:val="center"/>
        <w:tblLook w:val="04A0" w:firstRow="1" w:lastRow="0" w:firstColumn="1" w:lastColumn="0" w:noHBand="0" w:noVBand="1"/>
      </w:tblPr>
      <w:tblGrid>
        <w:gridCol w:w="1985"/>
        <w:gridCol w:w="8788"/>
      </w:tblGrid>
      <w:tr w:rsidR="00F435D0" w:rsidRPr="000F3FFC" w14:paraId="35B0F1EE" w14:textId="77777777" w:rsidTr="001147AC">
        <w:trPr>
          <w:trHeight w:val="2515"/>
          <w:jc w:val="center"/>
        </w:trPr>
        <w:tc>
          <w:tcPr>
            <w:tcW w:w="1985" w:type="dxa"/>
            <w:shd w:val="clear" w:color="auto" w:fill="FFFFFF"/>
            <w:vAlign w:val="center"/>
          </w:tcPr>
          <w:p w14:paraId="7D41E516" w14:textId="77777777" w:rsidR="00F435D0" w:rsidRPr="000F3FFC" w:rsidRDefault="00F435D0" w:rsidP="001147AC">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1A3F525E" wp14:editId="0A479EA4">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63FE813D" w14:textId="77777777" w:rsidR="00F435D0" w:rsidRPr="001900E2" w:rsidRDefault="00F435D0" w:rsidP="001147AC">
            <w:pPr>
              <w:rPr>
                <w:rFonts w:ascii="Arial" w:hAnsi="Arial" w:cs="Arial"/>
                <w:color w:val="6C6361"/>
                <w:sz w:val="21"/>
                <w:szCs w:val="21"/>
              </w:rPr>
            </w:pPr>
            <w:r w:rsidRPr="001254BB">
              <w:rPr>
                <w:rFonts w:ascii="Arial" w:hAnsi="Arial" w:cs="Arial"/>
                <w:color w:val="6C6361"/>
                <w:sz w:val="24"/>
                <w:szCs w:val="21"/>
              </w:rPr>
              <w:t xml:space="preserve">Steven Gallagher was awarded a </w:t>
            </w:r>
            <w:proofErr w:type="gramStart"/>
            <w:r w:rsidRPr="001254BB">
              <w:rPr>
                <w:rFonts w:ascii="Arial" w:hAnsi="Arial" w:cs="Arial"/>
                <w:color w:val="6C6361"/>
                <w:sz w:val="24"/>
                <w:szCs w:val="21"/>
              </w:rPr>
              <w:t>first class</w:t>
            </w:r>
            <w:proofErr w:type="gramEnd"/>
            <w:r w:rsidRPr="001254BB">
              <w:rPr>
                <w:rFonts w:ascii="Arial" w:hAnsi="Arial" w:cs="Arial"/>
                <w:color w:val="6C6361"/>
                <w:sz w:val="24"/>
                <w:szCs w:val="21"/>
              </w:rPr>
              <w:t xml:space="preserve"> LL.B.  He was called to the Bar of England and Wales in 2006.  Steven teaches equity and trusts, property law, and art, antiquities, cultural heritage and the law.  Steven has presented continuing professional development courses for solicitors in Hong Kong on many topics associated with property law.  Steven’s research interests include equity and the law of trusts, Chinese custom and law, cultural heritage law, and law and technology.</w:t>
            </w:r>
          </w:p>
        </w:tc>
      </w:tr>
    </w:tbl>
    <w:p w14:paraId="603DF919" w14:textId="77777777" w:rsidR="00F435D0" w:rsidRPr="00F33BE6" w:rsidRDefault="00F435D0" w:rsidP="00F435D0">
      <w:pPr>
        <w:spacing w:line="276" w:lineRule="auto"/>
        <w:jc w:val="left"/>
        <w:rPr>
          <w:rFonts w:ascii="Arial" w:hAnsi="Arial" w:cs="Arial"/>
          <w:sz w:val="20"/>
          <w:szCs w:val="14"/>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F435D0" w:rsidRPr="002C6D97" w14:paraId="11818CD2" w14:textId="77777777" w:rsidTr="001147AC">
        <w:trPr>
          <w:trHeight w:val="7586"/>
          <w:jc w:val="center"/>
        </w:trPr>
        <w:tc>
          <w:tcPr>
            <w:tcW w:w="10773" w:type="dxa"/>
            <w:tcBorders>
              <w:top w:val="nil"/>
              <w:bottom w:val="nil"/>
              <w:right w:val="nil"/>
            </w:tcBorders>
            <w:shd w:val="clear" w:color="auto" w:fill="FFFFFF" w:themeFill="background1"/>
            <w:vAlign w:val="center"/>
          </w:tcPr>
          <w:p w14:paraId="448A126B" w14:textId="77777777" w:rsidR="00F435D0" w:rsidRPr="002C6D97" w:rsidRDefault="00F435D0" w:rsidP="001147AC">
            <w:pPr>
              <w:spacing w:line="276" w:lineRule="auto"/>
              <w:rPr>
                <w:rFonts w:ascii="Arial" w:hAnsi="Arial" w:cs="Arial"/>
                <w:color w:val="6C6361"/>
                <w:sz w:val="24"/>
                <w:szCs w:val="24"/>
              </w:rPr>
            </w:pPr>
            <w:r w:rsidRPr="002C6D97">
              <w:rPr>
                <w:rFonts w:ascii="Arial" w:hAnsi="Arial" w:cs="Arial"/>
                <w:color w:val="6C6361"/>
                <w:sz w:val="24"/>
                <w:szCs w:val="24"/>
              </w:rPr>
              <w:t>This three-hour course will consider recent appellate and other influential decisions in Hong Kong and England which have affected or may affect the law of equity and trusts in Hong Kong.  This course focuses on property issues.  This course will be divided into five parts.</w:t>
            </w:r>
          </w:p>
          <w:p w14:paraId="7FF160A5" w14:textId="77777777" w:rsidR="00F435D0" w:rsidRPr="002C6D97" w:rsidRDefault="00F435D0" w:rsidP="001147AC">
            <w:pPr>
              <w:spacing w:line="276" w:lineRule="auto"/>
              <w:rPr>
                <w:rFonts w:ascii="Arial" w:hAnsi="Arial" w:cs="Arial"/>
                <w:color w:val="6C6361"/>
                <w:sz w:val="12"/>
                <w:szCs w:val="12"/>
              </w:rPr>
            </w:pPr>
          </w:p>
          <w:p w14:paraId="6A15889C" w14:textId="77777777" w:rsidR="00F435D0" w:rsidRPr="002C6D97" w:rsidRDefault="00F435D0" w:rsidP="001147AC">
            <w:pPr>
              <w:spacing w:line="276" w:lineRule="auto"/>
              <w:rPr>
                <w:rFonts w:ascii="Arial" w:hAnsi="Arial" w:cs="Arial"/>
                <w:color w:val="6C6361"/>
                <w:sz w:val="24"/>
                <w:szCs w:val="24"/>
              </w:rPr>
            </w:pPr>
            <w:r w:rsidRPr="002C6D97">
              <w:rPr>
                <w:rFonts w:ascii="Arial" w:hAnsi="Arial" w:cs="Arial"/>
                <w:color w:val="6C6361"/>
                <w:sz w:val="24"/>
                <w:szCs w:val="24"/>
              </w:rPr>
              <w:t>The first part will consider the development of the doctrine of illegality in England for fiduciaries who make secret profits after the decision of the UK Supreme Court in Crown Prosecution Service v Aquila Advisory Ltd [2021] UKSC 49.</w:t>
            </w:r>
          </w:p>
          <w:p w14:paraId="5726AD73" w14:textId="77777777" w:rsidR="00F435D0" w:rsidRPr="002C6D97" w:rsidRDefault="00F435D0" w:rsidP="001147AC">
            <w:pPr>
              <w:spacing w:line="276" w:lineRule="auto"/>
              <w:rPr>
                <w:rFonts w:ascii="Arial" w:hAnsi="Arial" w:cs="Arial"/>
                <w:color w:val="6C6361"/>
                <w:sz w:val="12"/>
                <w:szCs w:val="12"/>
              </w:rPr>
            </w:pPr>
          </w:p>
          <w:p w14:paraId="01D8FA62" w14:textId="77777777" w:rsidR="00F435D0" w:rsidRPr="002C6D97" w:rsidRDefault="00F435D0" w:rsidP="001147AC">
            <w:pPr>
              <w:spacing w:line="276" w:lineRule="auto"/>
              <w:rPr>
                <w:rFonts w:ascii="Arial" w:hAnsi="Arial" w:cs="Arial"/>
                <w:color w:val="6C6361"/>
                <w:sz w:val="24"/>
                <w:szCs w:val="24"/>
              </w:rPr>
            </w:pPr>
            <w:r w:rsidRPr="002C6D97">
              <w:rPr>
                <w:rFonts w:ascii="Arial" w:hAnsi="Arial" w:cs="Arial"/>
                <w:color w:val="6C6361"/>
                <w:sz w:val="24"/>
                <w:szCs w:val="24"/>
              </w:rPr>
              <w:t>The second part of the seminar considers recent developments in the doctrine of proprietary estoppel.  In particular, the judgement of the Court of Final Appeal concerning proprietary estoppel, occupation rents and ouster in Cheung Lai Mui v Cheung Wai Shing [2021] HKCFA 19.</w:t>
            </w:r>
          </w:p>
          <w:p w14:paraId="7C0A40C3" w14:textId="77777777" w:rsidR="00F435D0" w:rsidRPr="002C6D97" w:rsidRDefault="00F435D0" w:rsidP="001147AC">
            <w:pPr>
              <w:spacing w:line="276" w:lineRule="auto"/>
              <w:rPr>
                <w:rFonts w:ascii="Arial" w:hAnsi="Arial" w:cs="Arial"/>
                <w:color w:val="6C6361"/>
                <w:sz w:val="12"/>
                <w:szCs w:val="12"/>
              </w:rPr>
            </w:pPr>
          </w:p>
          <w:p w14:paraId="30637DC4" w14:textId="77777777" w:rsidR="00F435D0" w:rsidRPr="002C6D97" w:rsidRDefault="00F435D0" w:rsidP="001147AC">
            <w:pPr>
              <w:spacing w:line="276" w:lineRule="auto"/>
              <w:rPr>
                <w:rFonts w:ascii="Arial" w:hAnsi="Arial" w:cs="Arial"/>
                <w:color w:val="6C6361"/>
                <w:sz w:val="24"/>
                <w:szCs w:val="24"/>
              </w:rPr>
            </w:pPr>
            <w:r w:rsidRPr="002C6D97">
              <w:rPr>
                <w:rFonts w:ascii="Arial" w:hAnsi="Arial" w:cs="Arial"/>
                <w:color w:val="6C6361"/>
                <w:sz w:val="24"/>
                <w:szCs w:val="24"/>
              </w:rPr>
              <w:t xml:space="preserve">The third part of the seminar considers the English High Court’s judgment in Khan v Mahmood [2021] EWHC 597 (Ch) concerning the doctrine of unconscionability derived from Pennington v </w:t>
            </w:r>
            <w:proofErr w:type="spellStart"/>
            <w:r w:rsidRPr="002C6D97">
              <w:rPr>
                <w:rFonts w:ascii="Arial" w:hAnsi="Arial" w:cs="Arial"/>
                <w:color w:val="6C6361"/>
                <w:sz w:val="24"/>
                <w:szCs w:val="24"/>
              </w:rPr>
              <w:t>Waine</w:t>
            </w:r>
            <w:proofErr w:type="spellEnd"/>
            <w:r w:rsidRPr="002C6D97">
              <w:rPr>
                <w:rFonts w:ascii="Arial" w:hAnsi="Arial" w:cs="Arial"/>
                <w:color w:val="6C6361"/>
                <w:sz w:val="24"/>
                <w:szCs w:val="24"/>
              </w:rPr>
              <w:t xml:space="preserve"> [2002] EWCA Civ 227.  This part then continues considering the possible application of this doctrine in Hong Kong to gifts, trusts and safe deposit boxes in Hong Kong after Wing Lung Bank Ltd v King Arnold Theo [2020] HKCFI 911.  This part concludes with a discussion of the need for this doctrine in Hong Kong after the development of promissory estoppel by the Court of Final Appeal in Luo Xing Juan Angela v Estate of Hui Shui See Willy (Deceased) [2008] HKEC 996.</w:t>
            </w:r>
          </w:p>
          <w:p w14:paraId="73DC9B98" w14:textId="77777777" w:rsidR="00F435D0" w:rsidRPr="002C6D97" w:rsidRDefault="00F435D0" w:rsidP="001147AC">
            <w:pPr>
              <w:spacing w:line="276" w:lineRule="auto"/>
              <w:rPr>
                <w:rFonts w:ascii="Arial" w:hAnsi="Arial" w:cs="Arial"/>
                <w:color w:val="6C6361"/>
                <w:sz w:val="12"/>
                <w:szCs w:val="12"/>
              </w:rPr>
            </w:pPr>
          </w:p>
          <w:p w14:paraId="714A1CCA" w14:textId="77777777" w:rsidR="00F435D0" w:rsidRPr="002C6D97" w:rsidRDefault="00F435D0" w:rsidP="001147AC">
            <w:pPr>
              <w:spacing w:line="276" w:lineRule="auto"/>
              <w:rPr>
                <w:rFonts w:ascii="Arial" w:hAnsi="Arial" w:cs="Arial"/>
                <w:color w:val="6C6361"/>
                <w:sz w:val="24"/>
                <w:szCs w:val="24"/>
              </w:rPr>
            </w:pPr>
            <w:r w:rsidRPr="002C6D97">
              <w:rPr>
                <w:rFonts w:ascii="Arial" w:hAnsi="Arial" w:cs="Arial"/>
                <w:color w:val="6C6361"/>
                <w:sz w:val="24"/>
                <w:szCs w:val="24"/>
              </w:rPr>
              <w:t xml:space="preserve">The fourth part of the course will consider the doctrine of part performance for land contracts in Hong Kong after Ng Lai Ling Winnie v Ng Yuk </w:t>
            </w:r>
            <w:proofErr w:type="spellStart"/>
            <w:r w:rsidRPr="002C6D97">
              <w:rPr>
                <w:rFonts w:ascii="Arial" w:hAnsi="Arial" w:cs="Arial"/>
                <w:color w:val="6C6361"/>
                <w:sz w:val="24"/>
                <w:szCs w:val="24"/>
              </w:rPr>
              <w:t>Pui</w:t>
            </w:r>
            <w:proofErr w:type="spellEnd"/>
            <w:r w:rsidRPr="002C6D97">
              <w:rPr>
                <w:rFonts w:ascii="Arial" w:hAnsi="Arial" w:cs="Arial"/>
                <w:color w:val="6C6361"/>
                <w:sz w:val="24"/>
                <w:szCs w:val="24"/>
              </w:rPr>
              <w:t xml:space="preserve"> Kelly [2021] HKCFA 40.</w:t>
            </w:r>
          </w:p>
          <w:p w14:paraId="433F53EA" w14:textId="77777777" w:rsidR="00F435D0" w:rsidRPr="002C6D97" w:rsidRDefault="00F435D0" w:rsidP="001147AC">
            <w:pPr>
              <w:spacing w:line="276" w:lineRule="auto"/>
              <w:rPr>
                <w:rFonts w:ascii="Arial" w:hAnsi="Arial" w:cs="Arial"/>
                <w:color w:val="6C6361"/>
                <w:sz w:val="12"/>
                <w:szCs w:val="12"/>
              </w:rPr>
            </w:pPr>
          </w:p>
          <w:p w14:paraId="6F830C73" w14:textId="77777777" w:rsidR="00F435D0" w:rsidRPr="002C6D97" w:rsidRDefault="00F435D0" w:rsidP="001147AC">
            <w:pPr>
              <w:spacing w:line="276" w:lineRule="auto"/>
              <w:rPr>
                <w:rFonts w:ascii="Arial" w:hAnsi="Arial" w:cs="Arial"/>
                <w:color w:val="6C6361"/>
                <w:sz w:val="24"/>
                <w:szCs w:val="24"/>
              </w:rPr>
            </w:pPr>
            <w:r w:rsidRPr="002C6D97">
              <w:rPr>
                <w:rFonts w:ascii="Arial" w:hAnsi="Arial" w:cs="Arial"/>
                <w:color w:val="6C6361"/>
                <w:sz w:val="24"/>
                <w:szCs w:val="24"/>
              </w:rPr>
              <w:t>The fifth and concluding part of the course will be a discussion of how equity may consider “new” property, such as digital and crypto assets including cryptocurrencies and non-fungible tokens, as subject matter for gifts and trusts.</w:t>
            </w:r>
          </w:p>
        </w:tc>
      </w:tr>
    </w:tbl>
    <w:p w14:paraId="5E184DFB" w14:textId="77777777" w:rsidR="00F435D0" w:rsidRDefault="00F435D0" w:rsidP="00F435D0">
      <w:pPr>
        <w:spacing w:line="276" w:lineRule="auto"/>
        <w:rPr>
          <w:rFonts w:ascii="Arial" w:hAnsi="Arial" w:cs="Arial"/>
          <w:sz w:val="20"/>
          <w:szCs w:val="14"/>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F435D0" w:rsidRPr="002A7412" w14:paraId="3F22A60B" w14:textId="77777777" w:rsidTr="001147AC">
        <w:trPr>
          <w:trHeight w:val="397"/>
          <w:jc w:val="center"/>
        </w:trPr>
        <w:tc>
          <w:tcPr>
            <w:tcW w:w="10773" w:type="dxa"/>
            <w:gridSpan w:val="2"/>
            <w:tcBorders>
              <w:top w:val="nil"/>
              <w:bottom w:val="nil"/>
              <w:right w:val="nil"/>
            </w:tcBorders>
            <w:shd w:val="clear" w:color="auto" w:fill="F0EBE1"/>
            <w:vAlign w:val="center"/>
          </w:tcPr>
          <w:p w14:paraId="65747112" w14:textId="77777777" w:rsidR="00F435D0" w:rsidRPr="002A7412" w:rsidRDefault="00F435D0" w:rsidP="001147AC">
            <w:pPr>
              <w:spacing w:line="276" w:lineRule="auto"/>
              <w:rPr>
                <w:rFonts w:ascii="Arial" w:hAnsi="Arial" w:cs="Arial"/>
                <w:b/>
                <w:color w:val="524B48"/>
                <w:sz w:val="23"/>
                <w:szCs w:val="23"/>
              </w:rPr>
            </w:pPr>
            <w:r w:rsidRPr="002A7412">
              <w:rPr>
                <w:rFonts w:ascii="Arial" w:hAnsi="Arial" w:cs="Arial"/>
                <w:b/>
                <w:color w:val="524B48"/>
                <w:sz w:val="23"/>
                <w:szCs w:val="23"/>
              </w:rPr>
              <w:lastRenderedPageBreak/>
              <w:t>Some of the topics which will be covered in this course include:</w:t>
            </w:r>
          </w:p>
        </w:tc>
      </w:tr>
      <w:tr w:rsidR="00F435D0" w:rsidRPr="002A7412" w14:paraId="4613C048" w14:textId="77777777" w:rsidTr="001147AC">
        <w:trPr>
          <w:trHeight w:val="3846"/>
          <w:jc w:val="center"/>
        </w:trPr>
        <w:tc>
          <w:tcPr>
            <w:tcW w:w="9072" w:type="dxa"/>
            <w:tcBorders>
              <w:top w:val="nil"/>
              <w:bottom w:val="nil"/>
            </w:tcBorders>
            <w:shd w:val="clear" w:color="auto" w:fill="FFFFFF" w:themeFill="background1"/>
            <w:vAlign w:val="center"/>
          </w:tcPr>
          <w:p w14:paraId="2F48BA0E" w14:textId="77777777" w:rsidR="00F435D0" w:rsidRPr="002C6D97" w:rsidRDefault="00F435D0" w:rsidP="001147AC">
            <w:pPr>
              <w:pStyle w:val="ListParagraph"/>
              <w:numPr>
                <w:ilvl w:val="0"/>
                <w:numId w:val="1"/>
              </w:numPr>
              <w:spacing w:line="276" w:lineRule="auto"/>
              <w:ind w:right="-108"/>
              <w:jc w:val="left"/>
              <w:rPr>
                <w:rFonts w:ascii="Arial" w:hAnsi="Arial" w:cs="Arial"/>
                <w:color w:val="6C6361"/>
                <w:sz w:val="23"/>
                <w:szCs w:val="23"/>
              </w:rPr>
            </w:pPr>
            <w:r w:rsidRPr="002C6D97">
              <w:rPr>
                <w:rFonts w:ascii="Arial" w:hAnsi="Arial" w:cs="Arial"/>
                <w:color w:val="6C6361"/>
                <w:sz w:val="23"/>
                <w:szCs w:val="23"/>
              </w:rPr>
              <w:t>Developments in the doctrine of illegality for fiduciaries who make secret profits after Crown Prosecution Service v Aquila Advisory Ltd [2021] UKSC 49;</w:t>
            </w:r>
          </w:p>
          <w:p w14:paraId="14167E8F" w14:textId="77777777" w:rsidR="00F435D0" w:rsidRPr="002C6D97" w:rsidRDefault="00F435D0" w:rsidP="001147AC">
            <w:pPr>
              <w:pStyle w:val="ListParagraph"/>
              <w:numPr>
                <w:ilvl w:val="0"/>
                <w:numId w:val="1"/>
              </w:numPr>
              <w:spacing w:line="276" w:lineRule="auto"/>
              <w:ind w:right="-108"/>
              <w:jc w:val="left"/>
              <w:rPr>
                <w:rFonts w:ascii="Arial" w:hAnsi="Arial" w:cs="Arial"/>
                <w:color w:val="6C6361"/>
                <w:sz w:val="23"/>
                <w:szCs w:val="23"/>
              </w:rPr>
            </w:pPr>
            <w:r w:rsidRPr="002C6D97">
              <w:rPr>
                <w:rFonts w:ascii="Arial" w:hAnsi="Arial" w:cs="Arial"/>
                <w:color w:val="6C6361"/>
                <w:sz w:val="23"/>
                <w:szCs w:val="23"/>
              </w:rPr>
              <w:t>Equity, proprietary estoppel, occupation rents and ouster after Cheung Lai Mui v Cheung Wai Shing [2021] HKCFA 19;</w:t>
            </w:r>
          </w:p>
          <w:p w14:paraId="3E01F4C3" w14:textId="77777777" w:rsidR="00F435D0" w:rsidRPr="002C6D97" w:rsidRDefault="00F435D0" w:rsidP="001147AC">
            <w:pPr>
              <w:pStyle w:val="ListParagraph"/>
              <w:numPr>
                <w:ilvl w:val="0"/>
                <w:numId w:val="1"/>
              </w:numPr>
              <w:spacing w:line="276" w:lineRule="auto"/>
              <w:ind w:right="-108"/>
              <w:jc w:val="left"/>
              <w:rPr>
                <w:rFonts w:ascii="Arial" w:hAnsi="Arial" w:cs="Arial"/>
                <w:color w:val="6C6361"/>
                <w:sz w:val="23"/>
                <w:szCs w:val="23"/>
              </w:rPr>
            </w:pPr>
            <w:r w:rsidRPr="002C6D97">
              <w:rPr>
                <w:rFonts w:ascii="Arial" w:hAnsi="Arial" w:cs="Arial"/>
                <w:color w:val="6C6361"/>
                <w:sz w:val="23"/>
                <w:szCs w:val="23"/>
              </w:rPr>
              <w:t>Unconscionability as a trigger to perfect gifts after Khan v Mahmood [2021] EWHC 597 (Ch) and its application in Hong Kong;</w:t>
            </w:r>
          </w:p>
          <w:p w14:paraId="6C17BB3F" w14:textId="77777777" w:rsidR="00F435D0" w:rsidRPr="002C6D97" w:rsidRDefault="00F435D0" w:rsidP="001147AC">
            <w:pPr>
              <w:pStyle w:val="ListParagraph"/>
              <w:numPr>
                <w:ilvl w:val="0"/>
                <w:numId w:val="1"/>
              </w:numPr>
              <w:spacing w:line="276" w:lineRule="auto"/>
              <w:ind w:right="-108"/>
              <w:jc w:val="left"/>
              <w:rPr>
                <w:rFonts w:ascii="Arial" w:hAnsi="Arial" w:cs="Arial"/>
                <w:color w:val="6C6361"/>
                <w:sz w:val="23"/>
                <w:szCs w:val="23"/>
              </w:rPr>
            </w:pPr>
            <w:r w:rsidRPr="002C6D97">
              <w:rPr>
                <w:rFonts w:ascii="Arial" w:hAnsi="Arial" w:cs="Arial"/>
                <w:color w:val="6C6361"/>
                <w:sz w:val="23"/>
                <w:szCs w:val="23"/>
              </w:rPr>
              <w:t xml:space="preserve">Gifts, trusts, Pennington v </w:t>
            </w:r>
            <w:proofErr w:type="spellStart"/>
            <w:r w:rsidRPr="002C6D97">
              <w:rPr>
                <w:rFonts w:ascii="Arial" w:hAnsi="Arial" w:cs="Arial"/>
                <w:color w:val="6C6361"/>
                <w:sz w:val="23"/>
                <w:szCs w:val="23"/>
              </w:rPr>
              <w:t>Waine</w:t>
            </w:r>
            <w:proofErr w:type="spellEnd"/>
            <w:r w:rsidRPr="002C6D97">
              <w:rPr>
                <w:rFonts w:ascii="Arial" w:hAnsi="Arial" w:cs="Arial"/>
                <w:color w:val="6C6361"/>
                <w:sz w:val="23"/>
                <w:szCs w:val="23"/>
              </w:rPr>
              <w:t xml:space="preserve"> and safe deposit boxes in Hong Kong after Wing Lung Bank Ltd v King Arnold Theo [2020] HKCFI 911;</w:t>
            </w:r>
          </w:p>
          <w:p w14:paraId="65775AFE" w14:textId="77777777" w:rsidR="00F435D0" w:rsidRPr="002C6D97" w:rsidRDefault="00F435D0" w:rsidP="001147AC">
            <w:pPr>
              <w:pStyle w:val="ListParagraph"/>
              <w:numPr>
                <w:ilvl w:val="0"/>
                <w:numId w:val="1"/>
              </w:numPr>
              <w:spacing w:line="276" w:lineRule="auto"/>
              <w:ind w:right="-108"/>
              <w:jc w:val="left"/>
              <w:rPr>
                <w:rFonts w:ascii="Arial" w:hAnsi="Arial" w:cs="Arial"/>
                <w:color w:val="6C6361"/>
                <w:sz w:val="23"/>
                <w:szCs w:val="23"/>
              </w:rPr>
            </w:pPr>
            <w:r w:rsidRPr="002C6D97">
              <w:rPr>
                <w:rFonts w:ascii="Arial" w:hAnsi="Arial" w:cs="Arial"/>
                <w:color w:val="6C6361"/>
                <w:sz w:val="23"/>
                <w:szCs w:val="23"/>
              </w:rPr>
              <w:t xml:space="preserve">The doctrine of part performance and land contracts after Ng Lai Ling Winnie v Ng Yuk </w:t>
            </w:r>
            <w:proofErr w:type="spellStart"/>
            <w:r w:rsidRPr="002C6D97">
              <w:rPr>
                <w:rFonts w:ascii="Arial" w:hAnsi="Arial" w:cs="Arial"/>
                <w:color w:val="6C6361"/>
                <w:sz w:val="23"/>
                <w:szCs w:val="23"/>
              </w:rPr>
              <w:t>Pui</w:t>
            </w:r>
            <w:proofErr w:type="spellEnd"/>
            <w:r w:rsidRPr="002C6D97">
              <w:rPr>
                <w:rFonts w:ascii="Arial" w:hAnsi="Arial" w:cs="Arial"/>
                <w:color w:val="6C6361"/>
                <w:sz w:val="23"/>
                <w:szCs w:val="23"/>
              </w:rPr>
              <w:t xml:space="preserve"> Kelly [2021] HKCFA 40;</w:t>
            </w:r>
          </w:p>
          <w:p w14:paraId="2EEAACE6" w14:textId="77777777" w:rsidR="00F435D0" w:rsidRPr="002C6D97" w:rsidRDefault="00F435D0" w:rsidP="001147AC">
            <w:pPr>
              <w:pStyle w:val="ListParagraph"/>
              <w:numPr>
                <w:ilvl w:val="0"/>
                <w:numId w:val="1"/>
              </w:numPr>
              <w:spacing w:line="276" w:lineRule="auto"/>
              <w:ind w:right="-108"/>
              <w:jc w:val="left"/>
              <w:rPr>
                <w:rFonts w:ascii="Arial" w:hAnsi="Arial" w:cs="Arial"/>
                <w:color w:val="6C6361"/>
                <w:sz w:val="23"/>
                <w:szCs w:val="23"/>
              </w:rPr>
            </w:pPr>
            <w:r w:rsidRPr="002C6D97">
              <w:rPr>
                <w:rFonts w:ascii="Arial" w:hAnsi="Arial" w:cs="Arial"/>
                <w:color w:val="6C6361"/>
                <w:sz w:val="23"/>
                <w:szCs w:val="23"/>
              </w:rPr>
              <w:t>Equity and gifts and trusts of “new” property: digital and crypto assets including cryptocurrencies and non-fungible tokens</w:t>
            </w:r>
            <w:r>
              <w:rPr>
                <w:rFonts w:ascii="Arial" w:hAnsi="Arial" w:cs="Arial"/>
                <w:color w:val="6C6361"/>
                <w:sz w:val="23"/>
                <w:szCs w:val="23"/>
              </w:rPr>
              <w:t>.</w:t>
            </w:r>
          </w:p>
        </w:tc>
        <w:tc>
          <w:tcPr>
            <w:tcW w:w="1701" w:type="dxa"/>
            <w:tcBorders>
              <w:top w:val="nil"/>
              <w:bottom w:val="nil"/>
              <w:right w:val="nil"/>
            </w:tcBorders>
            <w:shd w:val="clear" w:color="auto" w:fill="FFFFFF" w:themeFill="background1"/>
            <w:vAlign w:val="center"/>
          </w:tcPr>
          <w:p w14:paraId="7BF7B93C" w14:textId="77777777" w:rsidR="00F435D0" w:rsidRPr="002A7412" w:rsidRDefault="00F435D0" w:rsidP="001147AC">
            <w:pPr>
              <w:spacing w:line="276" w:lineRule="auto"/>
              <w:jc w:val="center"/>
              <w:rPr>
                <w:rFonts w:ascii="Arial" w:hAnsi="Arial" w:cs="Arial"/>
                <w:color w:val="6C6361"/>
                <w:sz w:val="23"/>
                <w:szCs w:val="23"/>
              </w:rPr>
            </w:pPr>
          </w:p>
          <w:p w14:paraId="698A3026" w14:textId="77777777" w:rsidR="00F435D0" w:rsidRPr="002A7412" w:rsidRDefault="00F435D0" w:rsidP="001147AC">
            <w:pPr>
              <w:spacing w:line="276" w:lineRule="auto"/>
              <w:jc w:val="center"/>
              <w:rPr>
                <w:rFonts w:ascii="Arial" w:hAnsi="Arial" w:cs="Arial"/>
                <w:color w:val="6C6361"/>
                <w:sz w:val="23"/>
                <w:szCs w:val="23"/>
              </w:rPr>
            </w:pPr>
          </w:p>
          <w:p w14:paraId="75661DA9" w14:textId="77777777" w:rsidR="00F435D0" w:rsidRPr="002A7412" w:rsidRDefault="00F435D0" w:rsidP="001147AC">
            <w:pPr>
              <w:spacing w:line="276" w:lineRule="auto"/>
              <w:jc w:val="center"/>
              <w:rPr>
                <w:rFonts w:ascii="Arial" w:hAnsi="Arial" w:cs="Arial"/>
                <w:color w:val="6C6361"/>
                <w:sz w:val="23"/>
                <w:szCs w:val="23"/>
              </w:rPr>
            </w:pPr>
          </w:p>
          <w:p w14:paraId="698CBFE6" w14:textId="77777777" w:rsidR="00F435D0" w:rsidRPr="002A7412" w:rsidRDefault="00F435D0" w:rsidP="001147AC">
            <w:pPr>
              <w:spacing w:line="276" w:lineRule="auto"/>
              <w:jc w:val="center"/>
              <w:rPr>
                <w:rFonts w:ascii="Arial" w:hAnsi="Arial" w:cs="Arial"/>
                <w:color w:val="6C6361"/>
                <w:sz w:val="23"/>
                <w:szCs w:val="23"/>
              </w:rPr>
            </w:pPr>
          </w:p>
          <w:p w14:paraId="57AABCC9" w14:textId="77777777" w:rsidR="00F435D0" w:rsidRPr="002A7412" w:rsidRDefault="00F435D0" w:rsidP="001147AC">
            <w:pPr>
              <w:spacing w:line="276" w:lineRule="auto"/>
              <w:jc w:val="center"/>
              <w:rPr>
                <w:rFonts w:ascii="Arial" w:hAnsi="Arial" w:cs="Arial"/>
                <w:color w:val="6C6361"/>
                <w:sz w:val="23"/>
                <w:szCs w:val="23"/>
              </w:rPr>
            </w:pPr>
          </w:p>
          <w:p w14:paraId="4C1949E1" w14:textId="77777777" w:rsidR="00F435D0" w:rsidRPr="002A7412" w:rsidRDefault="00F435D0" w:rsidP="001147AC">
            <w:pPr>
              <w:spacing w:line="276" w:lineRule="auto"/>
              <w:jc w:val="center"/>
              <w:rPr>
                <w:rFonts w:ascii="Arial" w:hAnsi="Arial" w:cs="Arial"/>
                <w:color w:val="6C6361"/>
                <w:sz w:val="23"/>
                <w:szCs w:val="23"/>
              </w:rPr>
            </w:pPr>
          </w:p>
          <w:p w14:paraId="013414EF" w14:textId="77777777" w:rsidR="00F435D0" w:rsidRPr="002A7412" w:rsidRDefault="00F435D0" w:rsidP="001147AC">
            <w:pPr>
              <w:spacing w:line="276" w:lineRule="auto"/>
              <w:jc w:val="center"/>
              <w:rPr>
                <w:rFonts w:ascii="Arial" w:hAnsi="Arial" w:cs="Arial"/>
                <w:color w:val="6C6361"/>
                <w:sz w:val="23"/>
                <w:szCs w:val="23"/>
              </w:rPr>
            </w:pPr>
            <w:r w:rsidRPr="002A7412">
              <w:rPr>
                <w:rFonts w:ascii="Arial" w:hAnsi="Arial" w:cs="Arial"/>
                <w:noProof/>
                <w:color w:val="6C6361"/>
                <w:sz w:val="23"/>
                <w:szCs w:val="23"/>
              </w:rPr>
              <w:drawing>
                <wp:inline distT="0" distB="0" distL="0" distR="0" wp14:anchorId="789DBFC8" wp14:editId="56D3636D">
                  <wp:extent cx="893416" cy="10223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3416" cy="1022396"/>
                          </a:xfrm>
                          <a:prstGeom prst="rect">
                            <a:avLst/>
                          </a:prstGeom>
                          <a:noFill/>
                          <a:ln>
                            <a:noFill/>
                          </a:ln>
                        </pic:spPr>
                      </pic:pic>
                    </a:graphicData>
                  </a:graphic>
                </wp:inline>
              </w:drawing>
            </w:r>
          </w:p>
        </w:tc>
      </w:tr>
    </w:tbl>
    <w:p w14:paraId="47A9DDC9" w14:textId="77777777" w:rsidR="00F435D0" w:rsidRPr="00D005FC" w:rsidRDefault="00F435D0" w:rsidP="00F373AA">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F435D0" w:rsidRPr="00B90951" w14:paraId="1E7443B0" w14:textId="77777777" w:rsidTr="00D005FC">
        <w:trPr>
          <w:trHeight w:val="397"/>
          <w:jc w:val="center"/>
        </w:trPr>
        <w:tc>
          <w:tcPr>
            <w:tcW w:w="1701" w:type="dxa"/>
            <w:tcBorders>
              <w:top w:val="nil"/>
              <w:left w:val="nil"/>
              <w:bottom w:val="single" w:sz="12" w:space="0" w:color="FFFFFF"/>
            </w:tcBorders>
            <w:shd w:val="clear" w:color="auto" w:fill="F0EBE1"/>
            <w:vAlign w:val="center"/>
          </w:tcPr>
          <w:p w14:paraId="4B25C1D1" w14:textId="333F08C7" w:rsidR="00F435D0" w:rsidRPr="00320F79" w:rsidRDefault="00F435D0" w:rsidP="00F43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028944CC" w14:textId="0C46309D" w:rsidR="00F435D0" w:rsidRPr="00320F79" w:rsidRDefault="00F435D0" w:rsidP="00F43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EVT000000388</w:t>
            </w:r>
          </w:p>
        </w:tc>
        <w:tc>
          <w:tcPr>
            <w:tcW w:w="1701" w:type="dxa"/>
            <w:tcBorders>
              <w:top w:val="nil"/>
              <w:bottom w:val="single" w:sz="12" w:space="0" w:color="FFFFFF"/>
            </w:tcBorders>
            <w:shd w:val="clear" w:color="auto" w:fill="F0EBE1"/>
            <w:vAlign w:val="center"/>
          </w:tcPr>
          <w:p w14:paraId="6720FFBA" w14:textId="1D3A6C36" w:rsidR="00F435D0" w:rsidRPr="00320F79" w:rsidRDefault="00F435D0" w:rsidP="00F43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77FF768F" w14:textId="330CD65A" w:rsidR="00F435D0" w:rsidRPr="00320F79" w:rsidRDefault="00F435D0" w:rsidP="00F43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F435D0" w:rsidRPr="00B90951" w14:paraId="0DFFF51F" w14:textId="77777777" w:rsidTr="00D005FC">
        <w:trPr>
          <w:trHeight w:val="397"/>
          <w:jc w:val="center"/>
        </w:trPr>
        <w:tc>
          <w:tcPr>
            <w:tcW w:w="1701" w:type="dxa"/>
            <w:tcBorders>
              <w:top w:val="single" w:sz="12" w:space="0" w:color="FFFFFF"/>
              <w:left w:val="nil"/>
              <w:bottom w:val="single" w:sz="12" w:space="0" w:color="FFFFFF"/>
            </w:tcBorders>
            <w:shd w:val="clear" w:color="auto" w:fill="F0EBE1"/>
            <w:vAlign w:val="center"/>
          </w:tcPr>
          <w:p w14:paraId="6D55749A" w14:textId="16B94FBC" w:rsidR="00F435D0" w:rsidRPr="00320F79" w:rsidRDefault="00F435D0" w:rsidP="00F43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49F39D61" w14:textId="2564DFC5" w:rsidR="00F435D0" w:rsidRPr="00682661" w:rsidRDefault="00F435D0" w:rsidP="00F43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28 April 2023 (Friday)</w:t>
            </w:r>
          </w:p>
        </w:tc>
        <w:tc>
          <w:tcPr>
            <w:tcW w:w="1701" w:type="dxa"/>
            <w:tcBorders>
              <w:top w:val="single" w:sz="12" w:space="0" w:color="FFFFFF"/>
              <w:bottom w:val="single" w:sz="12" w:space="0" w:color="FFFFFF"/>
            </w:tcBorders>
            <w:shd w:val="clear" w:color="auto" w:fill="F0EBE1"/>
            <w:vAlign w:val="center"/>
          </w:tcPr>
          <w:p w14:paraId="21E97AFE" w14:textId="78E147EB" w:rsidR="00F435D0" w:rsidRPr="00320F79" w:rsidRDefault="00F435D0" w:rsidP="00F43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15202A35" w14:textId="536DBD91" w:rsidR="00F435D0" w:rsidRPr="00320F79" w:rsidRDefault="00F435D0" w:rsidP="00F43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F435D0" w:rsidRPr="00B90951" w14:paraId="28027E09" w14:textId="77777777" w:rsidTr="00D005FC">
        <w:trPr>
          <w:trHeight w:val="397"/>
          <w:jc w:val="center"/>
        </w:trPr>
        <w:tc>
          <w:tcPr>
            <w:tcW w:w="1701" w:type="dxa"/>
            <w:tcBorders>
              <w:top w:val="single" w:sz="12" w:space="0" w:color="FFFFFF"/>
              <w:left w:val="nil"/>
              <w:bottom w:val="single" w:sz="12" w:space="0" w:color="FFFFFF"/>
            </w:tcBorders>
            <w:shd w:val="clear" w:color="auto" w:fill="F0EBE1"/>
            <w:vAlign w:val="center"/>
          </w:tcPr>
          <w:p w14:paraId="2F6B4CC7" w14:textId="23B0A7BA" w:rsidR="00F435D0" w:rsidRPr="00320F79" w:rsidRDefault="00F435D0" w:rsidP="00F43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0C50B95B" w14:textId="77777777" w:rsidR="00F435D0" w:rsidRPr="00320F79" w:rsidRDefault="00F435D0" w:rsidP="00F43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 xml:space="preserve">:30 - </w:t>
            </w:r>
            <w:r>
              <w:rPr>
                <w:rFonts w:ascii="Arial" w:hAnsi="Arial" w:cs="Arial"/>
                <w:b/>
                <w:color w:val="6C6361"/>
                <w:sz w:val="20"/>
                <w:szCs w:val="20"/>
              </w:rPr>
              <w:t>17</w:t>
            </w:r>
            <w:r w:rsidRPr="00320F79">
              <w:rPr>
                <w:rFonts w:ascii="Arial" w:hAnsi="Arial" w:cs="Arial"/>
                <w:b/>
                <w:color w:val="6C6361"/>
                <w:sz w:val="20"/>
                <w:szCs w:val="20"/>
              </w:rPr>
              <w:t>:45</w:t>
            </w:r>
          </w:p>
          <w:p w14:paraId="71CBFC2E" w14:textId="0FE3A038" w:rsidR="00F435D0" w:rsidRPr="00320F79" w:rsidRDefault="00F435D0" w:rsidP="00F43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39967137" w14:textId="79A26A43" w:rsidR="00F435D0" w:rsidRPr="00320F79" w:rsidRDefault="00F435D0" w:rsidP="00F43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5B82123C" w14:textId="59458A63" w:rsidR="00F435D0" w:rsidRPr="00682661" w:rsidRDefault="00F435D0" w:rsidP="00F43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 xml:space="preserve">3.0 </w:t>
            </w:r>
            <w:r w:rsidRPr="00320F79">
              <w:rPr>
                <w:rFonts w:ascii="Arial" w:hAnsi="Arial" w:cs="Arial"/>
                <w:b/>
                <w:color w:val="6C6361"/>
                <w:sz w:val="20"/>
                <w:szCs w:val="20"/>
              </w:rPr>
              <w:t>CPD Points</w:t>
            </w:r>
          </w:p>
        </w:tc>
      </w:tr>
      <w:tr w:rsidR="00F373AA" w:rsidRPr="00B90951" w14:paraId="44834AD8" w14:textId="77777777" w:rsidTr="00D005FC">
        <w:trPr>
          <w:trHeight w:val="397"/>
          <w:jc w:val="center"/>
        </w:trPr>
        <w:tc>
          <w:tcPr>
            <w:tcW w:w="1701" w:type="dxa"/>
            <w:tcBorders>
              <w:top w:val="single" w:sz="12" w:space="0" w:color="FFFFFF"/>
              <w:left w:val="nil"/>
              <w:bottom w:val="nil"/>
            </w:tcBorders>
            <w:shd w:val="clear" w:color="auto" w:fill="F0EBE1"/>
            <w:vAlign w:val="center"/>
          </w:tcPr>
          <w:p w14:paraId="02A9EAE0"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4BA4516A" w14:textId="77777777" w:rsidR="00F373AA"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79D438A2" w14:textId="77777777" w:rsidR="00F373AA" w:rsidRPr="002D6743"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5D8D899F" w14:textId="77777777" w:rsidR="00F373AA" w:rsidRPr="00B90951"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19E592D3"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173E5803"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4DC316C6"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center"/>
          </w:tcPr>
          <w:p w14:paraId="63ACDDA9" w14:textId="77777777" w:rsidR="00F373AA" w:rsidRDefault="00F373AA" w:rsidP="00F373AA">
            <w:pPr>
              <w:jc w:val="left"/>
              <w:rPr>
                <w:rFonts w:ascii="Arial" w:hAnsi="Arial" w:cs="Arial"/>
                <w:b/>
                <w:color w:val="6C6361"/>
                <w:sz w:val="20"/>
                <w:szCs w:val="20"/>
              </w:rPr>
            </w:pPr>
          </w:p>
          <w:p w14:paraId="683125B5" w14:textId="77777777" w:rsidR="00F373AA" w:rsidRDefault="00F373AA" w:rsidP="00F373AA">
            <w:pPr>
              <w:jc w:val="left"/>
              <w:rPr>
                <w:rFonts w:ascii="Arial" w:hAnsi="Arial" w:cs="Arial"/>
                <w:b/>
                <w:color w:val="6C6361"/>
                <w:sz w:val="20"/>
                <w:szCs w:val="20"/>
              </w:rPr>
            </w:pPr>
          </w:p>
          <w:p w14:paraId="1CAAF6AF" w14:textId="77777777" w:rsidR="00F373AA" w:rsidRDefault="00F373AA" w:rsidP="00F373AA">
            <w:pPr>
              <w:jc w:val="left"/>
              <w:rPr>
                <w:rFonts w:ascii="Arial" w:hAnsi="Arial" w:cs="Arial"/>
                <w:b/>
                <w:color w:val="6C6361"/>
                <w:sz w:val="20"/>
                <w:szCs w:val="20"/>
              </w:rPr>
            </w:pPr>
          </w:p>
          <w:p w14:paraId="504D7FCC" w14:textId="40807F93" w:rsidR="00F373AA" w:rsidRPr="00B90951" w:rsidRDefault="00F373AA" w:rsidP="00F373AA">
            <w:pPr>
              <w:jc w:val="lef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20509194" wp14:editId="4DEDA89E">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482C9518" w14:textId="77777777" w:rsidR="00F373AA" w:rsidRPr="00B90951" w:rsidRDefault="00F373AA" w:rsidP="00F373AA">
            <w:pPr>
              <w:jc w:val="lef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71608757"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F351BB4"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53748F0C"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39A0A437"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62C89830"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40036F">
              <w:rPr>
                <w:rFonts w:ascii="Arial" w:eastAsia="Times New Roman" w:hAnsi="Arial" w:cs="Arial"/>
                <w:b/>
                <w:noProof/>
                <w:color w:val="6C6361"/>
              </w:rPr>
              <w:drawing>
                <wp:inline distT="0" distB="0" distL="0" distR="0" wp14:anchorId="316A84AC" wp14:editId="5E709B11">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BDB1F66" w14:textId="77777777" w:rsidR="00F373AA" w:rsidRPr="00680C81" w:rsidRDefault="00F373AA" w:rsidP="00F373AA">
      <w:pPr>
        <w:rPr>
          <w:sz w:val="2"/>
          <w:szCs w:val="2"/>
        </w:rPr>
      </w:pPr>
    </w:p>
    <w:sectPr w:rsidR="00F373AA"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4ABDB" w14:textId="77777777" w:rsidR="00BA46A2" w:rsidRDefault="00BA46A2" w:rsidP="00546556">
      <w:r>
        <w:separator/>
      </w:r>
    </w:p>
  </w:endnote>
  <w:endnote w:type="continuationSeparator" w:id="0">
    <w:p w14:paraId="125EF0E5" w14:textId="77777777" w:rsidR="00BA46A2" w:rsidRDefault="00BA46A2"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FA4ED"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4E12162C" w14:textId="77777777" w:rsidTr="00A775CE">
      <w:trPr>
        <w:trHeight w:val="1824"/>
        <w:jc w:val="center"/>
      </w:trPr>
      <w:tc>
        <w:tcPr>
          <w:tcW w:w="5954" w:type="dxa"/>
          <w:vAlign w:val="bottom"/>
        </w:tcPr>
        <w:p w14:paraId="0807244B"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1364C79" wp14:editId="1B20620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1507FF08" w14:textId="77777777" w:rsidR="00197F64" w:rsidRPr="00EA2D57" w:rsidRDefault="00197F64" w:rsidP="00197F64">
          <w:pPr>
            <w:ind w:right="33"/>
            <w:jc w:val="center"/>
            <w:rPr>
              <w:rFonts w:ascii="Arial" w:hAnsi="Arial" w:cs="Arial"/>
              <w:color w:val="E4DCCA"/>
              <w:sz w:val="16"/>
              <w:szCs w:val="16"/>
            </w:rPr>
          </w:pPr>
        </w:p>
        <w:p w14:paraId="6ECF88B5"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2ABC677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8D90BE1"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9A9888F"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445C5BA3" wp14:editId="2634660E">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57E8BD46"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16B212C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488728CB"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0434DF0C"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7B5D870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6E96EED"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55D38" w14:textId="77777777" w:rsidR="00BA46A2" w:rsidRDefault="00BA46A2" w:rsidP="00546556">
      <w:r>
        <w:separator/>
      </w:r>
    </w:p>
  </w:footnote>
  <w:footnote w:type="continuationSeparator" w:id="0">
    <w:p w14:paraId="797E6DE5" w14:textId="77777777" w:rsidR="00BA46A2" w:rsidRDefault="00BA46A2"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C9A5" w14:textId="77777777" w:rsidR="002C4DC0" w:rsidRDefault="00F0384F">
    <w:pPr>
      <w:pStyle w:val="Header"/>
    </w:pPr>
    <w:r>
      <w:rPr>
        <w:noProof/>
      </w:rPr>
      <w:drawing>
        <wp:anchor distT="0" distB="0" distL="114300" distR="114300" simplePos="0" relativeHeight="251659264" behindDoc="1" locked="0" layoutInCell="1" allowOverlap="1" wp14:anchorId="5F6E8049" wp14:editId="2D3C6688">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OIBe4/0mrBS2dfFPkWljqgM4RCUa2SEGX+c58c2sZTLGMA6IyqFC38iHKOyb/4cwIdBn8v/cLZfItgKOUuf4fA==" w:salt="cOIwSHOfa0H9/6znNzg7/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58F"/>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48C6"/>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1B0"/>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204B"/>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2F9"/>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38C"/>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3E2"/>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B7EE6"/>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4DFA"/>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6D90"/>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46A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2FFD"/>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1A9A"/>
    <w:rsid w:val="00CE34E3"/>
    <w:rsid w:val="00CE6141"/>
    <w:rsid w:val="00CE6A00"/>
    <w:rsid w:val="00CE6D02"/>
    <w:rsid w:val="00CF114C"/>
    <w:rsid w:val="00CF1379"/>
    <w:rsid w:val="00CF1E31"/>
    <w:rsid w:val="00CF37FA"/>
    <w:rsid w:val="00D005FC"/>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35C"/>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3AA"/>
    <w:rsid w:val="00F37A06"/>
    <w:rsid w:val="00F37A44"/>
    <w:rsid w:val="00F37E28"/>
    <w:rsid w:val="00F40B43"/>
    <w:rsid w:val="00F41331"/>
    <w:rsid w:val="00F41817"/>
    <w:rsid w:val="00F4210B"/>
    <w:rsid w:val="00F4254B"/>
    <w:rsid w:val="00F435D0"/>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2294"/>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13375"/>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F373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88/"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0344D-7F8F-4861-AE57-1D4FA39F4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Pages>
  <Words>591</Words>
  <Characters>3370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CPD Course: Adverse Possession: Squatter’s Rights and Encroaching on Other’s Land in Hong Kong</vt:lpstr>
    </vt:vector>
  </TitlesOfParts>
  <Manager>Tyrone Tsang</Manager>
  <Company>The Profectional Company Limited</Company>
  <LinksUpToDate>false</LinksUpToDate>
  <CharactersWithSpaces>3954</CharactersWithSpaces>
  <SharedDoc>false</SharedDoc>
  <HyperlinkBase>http://download.profectional.com/events/EVT000000388.docx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Updates on Equity and Trusts 2023</dc:title>
  <dc:subject>CPD Course: Updates on Equity and Trusts 2023</dc:subject>
  <dc:creator>The Profectional Company Limited</dc:creator>
  <cp:keywords>Profectional; Kornerstone; CPD; CPT; CLE; CE; RME; Steven Gallagher; Professor of Practice in Law; Associate Dean (Academic &amp; Student Affairs);The Faculty of Law; The Chinese University of Hong Kong</cp:keywords>
  <dc:description/>
  <cp:lastModifiedBy>Tyrone Tsang</cp:lastModifiedBy>
  <cp:revision>60</cp:revision>
  <cp:lastPrinted>2023-05-03T09:36:00Z</cp:lastPrinted>
  <dcterms:created xsi:type="dcterms:W3CDTF">2017-01-12T02:41:00Z</dcterms:created>
  <dcterms:modified xsi:type="dcterms:W3CDTF">2023-05-03T09:36:00Z</dcterms:modified>
  <cp:category/>
</cp:coreProperties>
</file>