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346AA" w14:textId="77777777" w:rsidR="0028443C" w:rsidRPr="0028443C" w:rsidRDefault="0028443C" w:rsidP="0028443C">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28443C" w:rsidRPr="00523A64" w14:paraId="4D252E89" w14:textId="77777777" w:rsidTr="00BB4BA6">
        <w:trPr>
          <w:trHeight w:val="3119"/>
          <w:jc w:val="center"/>
        </w:trPr>
        <w:tc>
          <w:tcPr>
            <w:tcW w:w="4797" w:type="dxa"/>
            <w:shd w:val="clear" w:color="auto" w:fill="FFFFFF"/>
            <w:vAlign w:val="center"/>
          </w:tcPr>
          <w:p w14:paraId="296AE2B8" w14:textId="77777777" w:rsidR="0028443C" w:rsidRPr="001A3018" w:rsidRDefault="0028443C" w:rsidP="00BB4BA6">
            <w:pPr>
              <w:jc w:val="center"/>
              <w:rPr>
                <w:rFonts w:ascii="Arial" w:hAnsi="Arial" w:cs="Arial"/>
                <w:b/>
                <w:bCs/>
                <w:color w:val="524B48"/>
                <w:sz w:val="4"/>
                <w:szCs w:val="4"/>
              </w:rPr>
            </w:pPr>
          </w:p>
          <w:p w14:paraId="04886319" w14:textId="77777777" w:rsidR="0028443C" w:rsidRDefault="0028443C" w:rsidP="00BB4BA6">
            <w:pPr>
              <w:jc w:val="center"/>
              <w:rPr>
                <w:rStyle w:val="Hyperlink"/>
                <w:rFonts w:ascii="Arial" w:hAnsi="Arial" w:cs="Arial"/>
                <w:b/>
                <w:bCs/>
                <w:color w:val="524B48"/>
                <w:sz w:val="32"/>
                <w:szCs w:val="32"/>
                <w:u w:val="none"/>
              </w:rPr>
            </w:pPr>
            <w:r w:rsidRPr="00CF685C">
              <w:fldChar w:fldCharType="begin"/>
            </w:r>
            <w:r>
              <w:instrText>HYPERLINK "http://cpd.hk/evt000000390/"</w:instrText>
            </w:r>
            <w:r w:rsidRPr="00CF685C">
              <w:fldChar w:fldCharType="separate"/>
            </w:r>
            <w:r w:rsidRPr="00377BE5">
              <w:rPr>
                <w:rStyle w:val="Hyperlink"/>
                <w:rFonts w:ascii="Arial" w:hAnsi="Arial" w:cs="Arial"/>
                <w:b/>
                <w:bCs/>
                <w:color w:val="524B48"/>
                <w:sz w:val="32"/>
                <w:szCs w:val="32"/>
                <w:u w:val="none"/>
              </w:rPr>
              <w:t>Illegality, Equity and Trust</w:t>
            </w:r>
            <w:r>
              <w:rPr>
                <w:rStyle w:val="Hyperlink"/>
                <w:rFonts w:ascii="Arial" w:hAnsi="Arial" w:cs="Arial"/>
                <w:b/>
                <w:bCs/>
                <w:color w:val="524B48"/>
                <w:sz w:val="32"/>
                <w:szCs w:val="32"/>
                <w:u w:val="none"/>
              </w:rPr>
              <w:t>s</w:t>
            </w:r>
            <w:r>
              <w:rPr>
                <w:rStyle w:val="Hyperlink"/>
                <w:rFonts w:ascii="Arial" w:hAnsi="Arial" w:cs="Arial"/>
                <w:b/>
                <w:bCs/>
                <w:color w:val="524B48"/>
                <w:sz w:val="32"/>
                <w:szCs w:val="32"/>
                <w:u w:val="none"/>
              </w:rPr>
              <w:br/>
            </w:r>
            <w:r w:rsidRPr="00377BE5">
              <w:rPr>
                <w:rStyle w:val="Hyperlink"/>
                <w:rFonts w:ascii="Arial" w:hAnsi="Arial" w:cs="Arial"/>
                <w:b/>
                <w:bCs/>
                <w:color w:val="524B48"/>
                <w:sz w:val="32"/>
                <w:szCs w:val="32"/>
                <w:u w:val="none"/>
              </w:rPr>
              <w:t>in Hong Kong:</w:t>
            </w:r>
            <w:r>
              <w:rPr>
                <w:rStyle w:val="Hyperlink"/>
                <w:rFonts w:ascii="Arial" w:hAnsi="Arial" w:cs="Arial"/>
                <w:b/>
                <w:bCs/>
                <w:color w:val="524B48"/>
                <w:sz w:val="32"/>
                <w:szCs w:val="32"/>
                <w:u w:val="none"/>
              </w:rPr>
              <w:br/>
            </w:r>
            <w:r w:rsidRPr="00377BE5">
              <w:rPr>
                <w:rStyle w:val="Hyperlink"/>
                <w:rFonts w:ascii="Arial" w:hAnsi="Arial" w:cs="Arial"/>
                <w:b/>
                <w:bCs/>
                <w:color w:val="524B48"/>
                <w:sz w:val="32"/>
                <w:szCs w:val="32"/>
                <w:u w:val="none"/>
              </w:rPr>
              <w:t>Clean Hands,</w:t>
            </w:r>
            <w:r>
              <w:rPr>
                <w:rStyle w:val="Hyperlink"/>
                <w:rFonts w:ascii="Arial" w:hAnsi="Arial" w:cs="Arial"/>
                <w:b/>
                <w:bCs/>
                <w:color w:val="524B48"/>
                <w:sz w:val="32"/>
                <w:szCs w:val="32"/>
                <w:u w:val="none"/>
              </w:rPr>
              <w:br/>
            </w:r>
            <w:r w:rsidRPr="00377BE5">
              <w:rPr>
                <w:rStyle w:val="Hyperlink"/>
                <w:rFonts w:ascii="Arial" w:hAnsi="Arial" w:cs="Arial"/>
                <w:b/>
                <w:bCs/>
                <w:color w:val="524B48"/>
                <w:sz w:val="32"/>
                <w:szCs w:val="32"/>
                <w:u w:val="none"/>
              </w:rPr>
              <w:t xml:space="preserve">Ex </w:t>
            </w:r>
            <w:proofErr w:type="spellStart"/>
            <w:r w:rsidRPr="00377BE5">
              <w:rPr>
                <w:rStyle w:val="Hyperlink"/>
                <w:rFonts w:ascii="Arial" w:hAnsi="Arial" w:cs="Arial"/>
                <w:b/>
                <w:bCs/>
                <w:color w:val="524B48"/>
                <w:sz w:val="32"/>
                <w:szCs w:val="32"/>
                <w:u w:val="none"/>
              </w:rPr>
              <w:t>Turpi</w:t>
            </w:r>
            <w:proofErr w:type="spellEnd"/>
            <w:r w:rsidRPr="00377BE5">
              <w:rPr>
                <w:rStyle w:val="Hyperlink"/>
                <w:rFonts w:ascii="Arial" w:hAnsi="Arial" w:cs="Arial"/>
                <w:b/>
                <w:bCs/>
                <w:color w:val="524B48"/>
                <w:sz w:val="32"/>
                <w:szCs w:val="32"/>
                <w:u w:val="none"/>
              </w:rPr>
              <w:t xml:space="preserve"> Causa, Reliance,</w:t>
            </w:r>
            <w:r>
              <w:rPr>
                <w:rStyle w:val="Hyperlink"/>
                <w:rFonts w:ascii="Arial" w:hAnsi="Arial" w:cs="Arial"/>
                <w:b/>
                <w:bCs/>
                <w:color w:val="524B48"/>
                <w:sz w:val="32"/>
                <w:szCs w:val="32"/>
                <w:u w:val="none"/>
              </w:rPr>
              <w:br/>
            </w:r>
            <w:r w:rsidRPr="00377BE5">
              <w:rPr>
                <w:rStyle w:val="Hyperlink"/>
                <w:rFonts w:ascii="Arial" w:hAnsi="Arial" w:cs="Arial"/>
                <w:b/>
                <w:bCs/>
                <w:color w:val="524B48"/>
                <w:sz w:val="32"/>
                <w:szCs w:val="32"/>
                <w:u w:val="none"/>
              </w:rPr>
              <w:t>Locus Poenitentiae,</w:t>
            </w:r>
            <w:r>
              <w:rPr>
                <w:rStyle w:val="Hyperlink"/>
                <w:rFonts w:ascii="Arial" w:hAnsi="Arial" w:cs="Arial"/>
                <w:b/>
                <w:bCs/>
                <w:color w:val="524B48"/>
                <w:sz w:val="32"/>
                <w:szCs w:val="32"/>
                <w:u w:val="none"/>
              </w:rPr>
              <w:br/>
            </w:r>
            <w:r w:rsidRPr="00377BE5">
              <w:rPr>
                <w:rStyle w:val="Hyperlink"/>
                <w:rFonts w:ascii="Arial" w:hAnsi="Arial" w:cs="Arial"/>
                <w:b/>
                <w:bCs/>
                <w:color w:val="524B48"/>
                <w:sz w:val="32"/>
                <w:szCs w:val="32"/>
                <w:u w:val="none"/>
              </w:rPr>
              <w:t>Range of Factors or What?</w:t>
            </w:r>
          </w:p>
          <w:p w14:paraId="7F4E56AC" w14:textId="77777777" w:rsidR="0028443C" w:rsidRPr="00C65AFD" w:rsidRDefault="0028443C" w:rsidP="00BB4BA6">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7B600535" w14:textId="77777777" w:rsidR="0028443C" w:rsidRPr="00C65AFD" w:rsidRDefault="0028443C" w:rsidP="00BB4BA6">
            <w:pPr>
              <w:jc w:val="center"/>
              <w:rPr>
                <w:rFonts w:ascii="Arial" w:hAnsi="Arial" w:cs="Arial"/>
                <w:i/>
                <w:color w:val="6C6361"/>
                <w:sz w:val="24"/>
                <w:szCs w:val="24"/>
              </w:rPr>
            </w:pPr>
            <w:r w:rsidRPr="00C65AFD">
              <w:rPr>
                <w:rFonts w:ascii="Arial" w:hAnsi="Arial" w:cs="Arial"/>
                <w:i/>
                <w:color w:val="6C6361"/>
                <w:sz w:val="24"/>
                <w:szCs w:val="24"/>
              </w:rPr>
              <w:t>by</w:t>
            </w:r>
          </w:p>
          <w:p w14:paraId="2DB4C4DB" w14:textId="77777777" w:rsidR="0028443C" w:rsidRDefault="0028443C" w:rsidP="00BB4BA6">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0AF0D01E" w14:textId="77777777" w:rsidR="0028443C" w:rsidRDefault="0028443C" w:rsidP="00BB4BA6">
            <w:pPr>
              <w:jc w:val="center"/>
              <w:rPr>
                <w:rFonts w:ascii="Arial" w:hAnsi="Arial" w:cs="Arial"/>
                <w:color w:val="6C6361"/>
                <w:sz w:val="24"/>
                <w:szCs w:val="24"/>
              </w:rPr>
            </w:pPr>
            <w:r>
              <w:rPr>
                <w:rFonts w:ascii="Arial" w:hAnsi="Arial" w:cs="Arial"/>
                <w:color w:val="6C6361"/>
                <w:sz w:val="24"/>
                <w:szCs w:val="24"/>
              </w:rPr>
              <w:t>Professor of Practice in Law,</w:t>
            </w:r>
          </w:p>
          <w:p w14:paraId="536CB81C" w14:textId="77777777" w:rsidR="0028443C" w:rsidRDefault="0028443C" w:rsidP="00BB4BA6">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w:t>
            </w:r>
          </w:p>
          <w:p w14:paraId="0CDFE045" w14:textId="77777777" w:rsidR="0028443C" w:rsidRDefault="0028443C" w:rsidP="00BB4BA6">
            <w:pPr>
              <w:jc w:val="center"/>
              <w:rPr>
                <w:rFonts w:ascii="Arial" w:hAnsi="Arial" w:cs="Arial"/>
                <w:color w:val="6C6361"/>
                <w:sz w:val="24"/>
                <w:szCs w:val="24"/>
              </w:rPr>
            </w:pPr>
            <w:r>
              <w:rPr>
                <w:rFonts w:ascii="Arial" w:hAnsi="Arial" w:cs="Arial"/>
                <w:color w:val="6C6361"/>
                <w:sz w:val="24"/>
                <w:szCs w:val="24"/>
              </w:rPr>
              <w:t>(Academic &amp; Student Affairs),</w:t>
            </w:r>
          </w:p>
          <w:p w14:paraId="03AB5F3B" w14:textId="77777777" w:rsidR="0028443C" w:rsidRDefault="0028443C" w:rsidP="00BB4BA6">
            <w:pPr>
              <w:jc w:val="center"/>
              <w:rPr>
                <w:rFonts w:ascii="Arial" w:hAnsi="Arial" w:cs="Arial"/>
                <w:color w:val="6C6361"/>
                <w:sz w:val="24"/>
                <w:szCs w:val="24"/>
              </w:rPr>
            </w:pPr>
            <w:r>
              <w:rPr>
                <w:rFonts w:ascii="Arial" w:hAnsi="Arial" w:cs="Arial"/>
                <w:color w:val="6C6361"/>
                <w:sz w:val="24"/>
                <w:szCs w:val="24"/>
              </w:rPr>
              <w:t>The Faculty of Law,</w:t>
            </w:r>
          </w:p>
          <w:p w14:paraId="60711BB2" w14:textId="77777777" w:rsidR="0028443C" w:rsidRPr="007E02E6" w:rsidRDefault="0028443C" w:rsidP="00BB4BA6">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6E405D85" w14:textId="77777777" w:rsidR="0028443C" w:rsidRPr="00D87ECF" w:rsidRDefault="0028443C" w:rsidP="00BB4BA6">
            <w:pPr>
              <w:jc w:val="center"/>
              <w:rPr>
                <w:rFonts w:ascii="Arial" w:hAnsi="Arial" w:cs="Arial"/>
                <w:color w:val="6C6361"/>
                <w:sz w:val="8"/>
                <w:szCs w:val="8"/>
              </w:rPr>
            </w:pPr>
          </w:p>
        </w:tc>
        <w:tc>
          <w:tcPr>
            <w:tcW w:w="5976" w:type="dxa"/>
            <w:shd w:val="clear" w:color="auto" w:fill="FFFFFF"/>
            <w:vAlign w:val="center"/>
          </w:tcPr>
          <w:p w14:paraId="365099B3" w14:textId="77777777" w:rsidR="0028443C" w:rsidRPr="00D50772" w:rsidRDefault="0028443C" w:rsidP="00BB4BA6">
            <w:pPr>
              <w:spacing w:line="276" w:lineRule="auto"/>
              <w:rPr>
                <w:rFonts w:ascii="Arial" w:eastAsia="Times New Roman" w:hAnsi="Arial" w:cs="Arial"/>
                <w:noProof/>
                <w:sz w:val="20"/>
                <w:szCs w:val="20"/>
              </w:rPr>
            </w:pPr>
            <w:r w:rsidRPr="00D831F0">
              <w:rPr>
                <w:rFonts w:ascii="Arial" w:eastAsia="Times New Roman" w:hAnsi="Arial" w:cs="Arial"/>
                <w:noProof/>
                <w:sz w:val="20"/>
                <w:szCs w:val="20"/>
              </w:rPr>
              <w:drawing>
                <wp:anchor distT="0" distB="0" distL="114300" distR="114300" simplePos="0" relativeHeight="251659264" behindDoc="0" locked="0" layoutInCell="1" allowOverlap="1" wp14:anchorId="5CADF656" wp14:editId="18D0176A">
                  <wp:simplePos x="0" y="0"/>
                  <wp:positionH relativeFrom="column">
                    <wp:posOffset>3184525</wp:posOffset>
                  </wp:positionH>
                  <wp:positionV relativeFrom="paragraph">
                    <wp:posOffset>-514985</wp:posOffset>
                  </wp:positionV>
                  <wp:extent cx="539750" cy="539750"/>
                  <wp:effectExtent l="0" t="0" r="6350" b="6350"/>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21EECA4" wp14:editId="77690CB7">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14:paraId="267714B0" w14:textId="77777777" w:rsidR="0028443C" w:rsidRPr="00F33BE6" w:rsidRDefault="0028443C" w:rsidP="0028443C">
      <w:pPr>
        <w:spacing w:line="276" w:lineRule="auto"/>
        <w:jc w:val="left"/>
        <w:rPr>
          <w:rFonts w:ascii="Arial" w:hAnsi="Arial" w:cs="Arial"/>
          <w:sz w:val="20"/>
          <w:szCs w:val="14"/>
        </w:rPr>
      </w:pPr>
    </w:p>
    <w:tbl>
      <w:tblPr>
        <w:tblW w:w="10773" w:type="dxa"/>
        <w:jc w:val="center"/>
        <w:tblLook w:val="04A0" w:firstRow="1" w:lastRow="0" w:firstColumn="1" w:lastColumn="0" w:noHBand="0" w:noVBand="1"/>
      </w:tblPr>
      <w:tblGrid>
        <w:gridCol w:w="1985"/>
        <w:gridCol w:w="8788"/>
      </w:tblGrid>
      <w:tr w:rsidR="0028443C" w:rsidRPr="000F3FFC" w14:paraId="65E659BD" w14:textId="77777777" w:rsidTr="00BB4BA6">
        <w:trPr>
          <w:trHeight w:val="2515"/>
          <w:jc w:val="center"/>
        </w:trPr>
        <w:tc>
          <w:tcPr>
            <w:tcW w:w="1985" w:type="dxa"/>
            <w:shd w:val="clear" w:color="auto" w:fill="FFFFFF"/>
            <w:vAlign w:val="center"/>
          </w:tcPr>
          <w:p w14:paraId="41617263" w14:textId="77777777" w:rsidR="0028443C" w:rsidRPr="000F3FFC" w:rsidRDefault="0028443C" w:rsidP="00BB4BA6">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1419D115" wp14:editId="3D76BBC4">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526E209F" w14:textId="77777777" w:rsidR="0028443C" w:rsidRPr="001900E2" w:rsidRDefault="0028443C" w:rsidP="00BB4BA6">
            <w:pPr>
              <w:rPr>
                <w:rFonts w:ascii="Arial" w:hAnsi="Arial" w:cs="Arial"/>
                <w:color w:val="6C6361"/>
                <w:sz w:val="21"/>
                <w:szCs w:val="21"/>
              </w:rPr>
            </w:pPr>
            <w:r w:rsidRPr="001254BB">
              <w:rPr>
                <w:rFonts w:ascii="Arial" w:hAnsi="Arial" w:cs="Arial"/>
                <w:color w:val="6C6361"/>
                <w:sz w:val="24"/>
                <w:szCs w:val="21"/>
              </w:rPr>
              <w:t xml:space="preserve">Steven Gallagher was awarded a </w:t>
            </w:r>
            <w:proofErr w:type="gramStart"/>
            <w:r w:rsidRPr="001254BB">
              <w:rPr>
                <w:rFonts w:ascii="Arial" w:hAnsi="Arial" w:cs="Arial"/>
                <w:color w:val="6C6361"/>
                <w:sz w:val="24"/>
                <w:szCs w:val="21"/>
              </w:rPr>
              <w:t>first class</w:t>
            </w:r>
            <w:proofErr w:type="gramEnd"/>
            <w:r w:rsidRPr="001254BB">
              <w:rPr>
                <w:rFonts w:ascii="Arial" w:hAnsi="Arial" w:cs="Arial"/>
                <w:color w:val="6C6361"/>
                <w:sz w:val="24"/>
                <w:szCs w:val="21"/>
              </w:rPr>
              <w:t xml:space="preserve"> LL.B.  He was called to the Bar of England and Wales in 2006.  Steven teaches equity and trusts, property law, and art, antiquities, cultural heritage and the law.  Steven has presented continuing professional development courses for solicitors in Hong Kong on many topics associated with property law.  Steven’s research interests include equity and the law of trusts, Chinese custom and law, cultural heritage law, and law and technology.</w:t>
            </w:r>
          </w:p>
        </w:tc>
      </w:tr>
    </w:tbl>
    <w:p w14:paraId="510D89AA" w14:textId="77777777" w:rsidR="0028443C" w:rsidRPr="00F33BE6" w:rsidRDefault="0028443C" w:rsidP="0028443C">
      <w:pPr>
        <w:spacing w:line="276" w:lineRule="auto"/>
        <w:jc w:val="left"/>
        <w:rPr>
          <w:rFonts w:ascii="Arial" w:hAnsi="Arial" w:cs="Arial"/>
          <w:sz w:val="20"/>
          <w:szCs w:val="14"/>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28443C" w:rsidRPr="00887B68" w14:paraId="202177C8" w14:textId="77777777" w:rsidTr="00BB4BA6">
        <w:trPr>
          <w:trHeight w:val="6289"/>
          <w:jc w:val="center"/>
        </w:trPr>
        <w:tc>
          <w:tcPr>
            <w:tcW w:w="10773" w:type="dxa"/>
            <w:tcBorders>
              <w:top w:val="nil"/>
              <w:bottom w:val="nil"/>
              <w:right w:val="nil"/>
            </w:tcBorders>
            <w:shd w:val="clear" w:color="auto" w:fill="FFFFFF" w:themeFill="background1"/>
            <w:vAlign w:val="center"/>
          </w:tcPr>
          <w:p w14:paraId="0F672F14" w14:textId="77777777" w:rsidR="0028443C" w:rsidRPr="00887B68" w:rsidRDefault="0028443C" w:rsidP="00BB4BA6">
            <w:pPr>
              <w:spacing w:line="276" w:lineRule="auto"/>
              <w:rPr>
                <w:rFonts w:ascii="Arial" w:hAnsi="Arial" w:cs="Arial"/>
                <w:color w:val="6C6361"/>
                <w:sz w:val="23"/>
                <w:szCs w:val="23"/>
              </w:rPr>
            </w:pPr>
            <w:r w:rsidRPr="00887B68">
              <w:rPr>
                <w:rFonts w:ascii="Arial" w:hAnsi="Arial" w:cs="Arial"/>
                <w:color w:val="6C6361"/>
                <w:sz w:val="23"/>
                <w:szCs w:val="23"/>
              </w:rPr>
              <w:t>In 2016, the majority of the UK Supreme Court, in Patel v Mirza [2016] UKSC 42, adopted a new test to decide if a plaintiff’s case should be barred for illegality - the Range of Factors Test.  This test has been applied by the court in Hong Kong and also rejected in light of Hong Kong’s own Court of Appeal guidance that our courts should follow the Reliance Principle developed by the House of Lord in Tinsley v Milligan [1994] 1 AC 340.</w:t>
            </w:r>
          </w:p>
          <w:p w14:paraId="0485D076" w14:textId="77777777" w:rsidR="0028443C" w:rsidRPr="00887B68" w:rsidRDefault="0028443C" w:rsidP="00BB4BA6">
            <w:pPr>
              <w:spacing w:line="276" w:lineRule="auto"/>
              <w:rPr>
                <w:rFonts w:ascii="Arial" w:hAnsi="Arial" w:cs="Arial"/>
                <w:color w:val="6C6361"/>
                <w:sz w:val="10"/>
                <w:szCs w:val="10"/>
              </w:rPr>
            </w:pPr>
          </w:p>
          <w:p w14:paraId="1C9AE934" w14:textId="77777777" w:rsidR="0028443C" w:rsidRPr="00887B68" w:rsidRDefault="0028443C" w:rsidP="00BB4BA6">
            <w:pPr>
              <w:spacing w:line="276" w:lineRule="auto"/>
              <w:rPr>
                <w:rFonts w:ascii="Arial" w:hAnsi="Arial" w:cs="Arial"/>
                <w:color w:val="6C6361"/>
                <w:sz w:val="23"/>
                <w:szCs w:val="23"/>
              </w:rPr>
            </w:pPr>
            <w:r w:rsidRPr="00887B68">
              <w:rPr>
                <w:rFonts w:ascii="Arial" w:hAnsi="Arial" w:cs="Arial"/>
                <w:color w:val="6C6361"/>
                <w:sz w:val="23"/>
                <w:szCs w:val="23"/>
              </w:rPr>
              <w:t xml:space="preserve">This seminar will consider the development of the doctrine of illegality from its roots in the equitable maxim “He who comes to equity must come with clean hands”, and the common law maxim “Ex </w:t>
            </w:r>
            <w:proofErr w:type="spellStart"/>
            <w:r w:rsidRPr="00887B68">
              <w:rPr>
                <w:rFonts w:ascii="Arial" w:hAnsi="Arial" w:cs="Arial"/>
                <w:color w:val="6C6361"/>
                <w:sz w:val="23"/>
                <w:szCs w:val="23"/>
              </w:rPr>
              <w:t>turpi</w:t>
            </w:r>
            <w:proofErr w:type="spellEnd"/>
            <w:r w:rsidRPr="00887B68">
              <w:rPr>
                <w:rFonts w:ascii="Arial" w:hAnsi="Arial" w:cs="Arial"/>
                <w:color w:val="6C6361"/>
                <w:sz w:val="23"/>
                <w:szCs w:val="23"/>
              </w:rPr>
              <w:t xml:space="preserve"> causa non </w:t>
            </w:r>
            <w:proofErr w:type="spellStart"/>
            <w:r w:rsidRPr="00887B68">
              <w:rPr>
                <w:rFonts w:ascii="Arial" w:hAnsi="Arial" w:cs="Arial"/>
                <w:color w:val="6C6361"/>
                <w:sz w:val="23"/>
                <w:szCs w:val="23"/>
              </w:rPr>
              <w:t>oritur</w:t>
            </w:r>
            <w:proofErr w:type="spellEnd"/>
            <w:r w:rsidRPr="00887B68">
              <w:rPr>
                <w:rFonts w:ascii="Arial" w:hAnsi="Arial" w:cs="Arial"/>
                <w:color w:val="6C6361"/>
                <w:sz w:val="23"/>
                <w:szCs w:val="23"/>
              </w:rPr>
              <w:t xml:space="preserve"> action”.</w:t>
            </w:r>
          </w:p>
          <w:p w14:paraId="7DF13B6A" w14:textId="77777777" w:rsidR="0028443C" w:rsidRPr="00887B68" w:rsidRDefault="0028443C" w:rsidP="00BB4BA6">
            <w:pPr>
              <w:spacing w:line="276" w:lineRule="auto"/>
              <w:rPr>
                <w:rFonts w:ascii="Arial" w:hAnsi="Arial" w:cs="Arial"/>
                <w:color w:val="6C6361"/>
                <w:sz w:val="10"/>
                <w:szCs w:val="10"/>
              </w:rPr>
            </w:pPr>
          </w:p>
          <w:p w14:paraId="2A81554F" w14:textId="77777777" w:rsidR="0028443C" w:rsidRPr="00887B68" w:rsidRDefault="0028443C" w:rsidP="00BB4BA6">
            <w:pPr>
              <w:spacing w:line="276" w:lineRule="auto"/>
              <w:rPr>
                <w:rFonts w:ascii="Arial" w:hAnsi="Arial" w:cs="Arial"/>
                <w:color w:val="6C6361"/>
                <w:sz w:val="23"/>
                <w:szCs w:val="23"/>
              </w:rPr>
            </w:pPr>
            <w:r w:rsidRPr="00887B68">
              <w:rPr>
                <w:rFonts w:ascii="Arial" w:hAnsi="Arial" w:cs="Arial"/>
                <w:color w:val="6C6361"/>
                <w:sz w:val="23"/>
                <w:szCs w:val="23"/>
              </w:rPr>
              <w:t xml:space="preserve">The seminar will consider the original approach of equity and the common law to plaintiffs who founded their actions on illegal acts in the seminal judgments of Lord Mansfield in Holman v Johnson (1775) 1 </w:t>
            </w:r>
            <w:proofErr w:type="spellStart"/>
            <w:r w:rsidRPr="00887B68">
              <w:rPr>
                <w:rFonts w:ascii="Arial" w:hAnsi="Arial" w:cs="Arial"/>
                <w:color w:val="6C6361"/>
                <w:sz w:val="23"/>
                <w:szCs w:val="23"/>
              </w:rPr>
              <w:t>Cowp</w:t>
            </w:r>
            <w:proofErr w:type="spellEnd"/>
            <w:r w:rsidRPr="00887B68">
              <w:rPr>
                <w:rFonts w:ascii="Arial" w:hAnsi="Arial" w:cs="Arial"/>
                <w:color w:val="6C6361"/>
                <w:sz w:val="23"/>
                <w:szCs w:val="23"/>
              </w:rPr>
              <w:t xml:space="preserve"> 341, bringing his equity to the law, and the more formalistic approach of Lord Eldon in </w:t>
            </w:r>
            <w:proofErr w:type="spellStart"/>
            <w:r w:rsidRPr="00887B68">
              <w:rPr>
                <w:rFonts w:ascii="Arial" w:hAnsi="Arial" w:cs="Arial"/>
                <w:color w:val="6C6361"/>
                <w:sz w:val="23"/>
                <w:szCs w:val="23"/>
              </w:rPr>
              <w:t>Muckleston</w:t>
            </w:r>
            <w:proofErr w:type="spellEnd"/>
            <w:r w:rsidRPr="00887B68">
              <w:rPr>
                <w:rFonts w:ascii="Arial" w:hAnsi="Arial" w:cs="Arial"/>
                <w:color w:val="6C6361"/>
                <w:sz w:val="23"/>
                <w:szCs w:val="23"/>
              </w:rPr>
              <w:t xml:space="preserve"> v Brown (1801) 6 </w:t>
            </w:r>
            <w:proofErr w:type="spellStart"/>
            <w:r w:rsidRPr="00887B68">
              <w:rPr>
                <w:rFonts w:ascii="Arial" w:hAnsi="Arial" w:cs="Arial"/>
                <w:color w:val="6C6361"/>
                <w:sz w:val="23"/>
                <w:szCs w:val="23"/>
              </w:rPr>
              <w:t>Ves</w:t>
            </w:r>
            <w:proofErr w:type="spellEnd"/>
            <w:r w:rsidRPr="00887B68">
              <w:rPr>
                <w:rFonts w:ascii="Arial" w:hAnsi="Arial" w:cs="Arial"/>
                <w:color w:val="6C6361"/>
                <w:sz w:val="23"/>
                <w:szCs w:val="23"/>
              </w:rPr>
              <w:t xml:space="preserve"> 52, arguably bringing law into equity when he opined, “Let the estate lie where it falls”.</w:t>
            </w:r>
          </w:p>
          <w:p w14:paraId="3EB27EA8" w14:textId="77777777" w:rsidR="0028443C" w:rsidRPr="00887B68" w:rsidRDefault="0028443C" w:rsidP="00BB4BA6">
            <w:pPr>
              <w:spacing w:line="276" w:lineRule="auto"/>
              <w:rPr>
                <w:rFonts w:ascii="Arial" w:hAnsi="Arial" w:cs="Arial"/>
                <w:color w:val="6C6361"/>
                <w:sz w:val="10"/>
                <w:szCs w:val="10"/>
              </w:rPr>
            </w:pPr>
          </w:p>
          <w:p w14:paraId="60B1CD65" w14:textId="77777777" w:rsidR="0028443C" w:rsidRPr="00887B68" w:rsidRDefault="0028443C" w:rsidP="00BB4BA6">
            <w:pPr>
              <w:spacing w:line="276" w:lineRule="auto"/>
              <w:rPr>
                <w:rFonts w:ascii="Arial" w:hAnsi="Arial" w:cs="Arial"/>
                <w:color w:val="6C6361"/>
                <w:sz w:val="23"/>
                <w:szCs w:val="23"/>
              </w:rPr>
            </w:pPr>
            <w:r w:rsidRPr="00887B68">
              <w:rPr>
                <w:rFonts w:ascii="Arial" w:hAnsi="Arial" w:cs="Arial"/>
                <w:color w:val="6C6361"/>
                <w:sz w:val="23"/>
                <w:szCs w:val="23"/>
              </w:rPr>
              <w:t xml:space="preserve">The seminar then considers the developments in the doctrine in law and equity through the influential comments of Lord Denning in Tinker v Tinker [1970] 1 All ER 540, to the development of the modern approach to claims of illegality.  This modern approach consists of three main trends in equity’s relaxation of the harshness of the common law: The Reliance Principle, the doctrine of locus poenitentiae, and the </w:t>
            </w:r>
            <w:proofErr w:type="gramStart"/>
            <w:r w:rsidRPr="00887B68">
              <w:rPr>
                <w:rFonts w:ascii="Arial" w:hAnsi="Arial" w:cs="Arial"/>
                <w:color w:val="6C6361"/>
                <w:sz w:val="23"/>
                <w:szCs w:val="23"/>
              </w:rPr>
              <w:t>common sense</w:t>
            </w:r>
            <w:proofErr w:type="gramEnd"/>
            <w:r w:rsidRPr="00887B68">
              <w:rPr>
                <w:rFonts w:ascii="Arial" w:hAnsi="Arial" w:cs="Arial"/>
                <w:color w:val="6C6361"/>
                <w:sz w:val="23"/>
                <w:szCs w:val="23"/>
              </w:rPr>
              <w:t xml:space="preserve"> interpretation of law to </w:t>
            </w:r>
            <w:proofErr w:type="spellStart"/>
            <w:r w:rsidRPr="00887B68">
              <w:rPr>
                <w:rFonts w:ascii="Arial" w:hAnsi="Arial" w:cs="Arial"/>
                <w:color w:val="6C6361"/>
                <w:sz w:val="23"/>
                <w:szCs w:val="23"/>
              </w:rPr>
              <w:t>categorise</w:t>
            </w:r>
            <w:proofErr w:type="spellEnd"/>
            <w:r w:rsidRPr="00887B68">
              <w:rPr>
                <w:rFonts w:ascii="Arial" w:hAnsi="Arial" w:cs="Arial"/>
                <w:color w:val="6C6361"/>
                <w:sz w:val="23"/>
                <w:szCs w:val="23"/>
              </w:rPr>
              <w:t xml:space="preserve"> the maligned acts as outside any illegality identified at law and especially in statute.</w:t>
            </w:r>
          </w:p>
        </w:tc>
      </w:tr>
    </w:tbl>
    <w:p w14:paraId="3EFCF033" w14:textId="77777777" w:rsidR="0028443C" w:rsidRPr="0028443C" w:rsidRDefault="0028443C" w:rsidP="0028443C">
      <w:pPr>
        <w:spacing w:line="276" w:lineRule="auto"/>
        <w:jc w:val="left"/>
        <w:rPr>
          <w:rFonts w:ascii="Arial" w:hAnsi="Arial" w:cs="Arial"/>
          <w:sz w:val="2"/>
          <w:szCs w:val="2"/>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28443C" w:rsidRPr="00887B68" w14:paraId="15117B1B" w14:textId="77777777" w:rsidTr="00BB4BA6">
        <w:trPr>
          <w:trHeight w:val="2551"/>
          <w:jc w:val="center"/>
        </w:trPr>
        <w:tc>
          <w:tcPr>
            <w:tcW w:w="10773" w:type="dxa"/>
            <w:tcBorders>
              <w:top w:val="nil"/>
              <w:bottom w:val="nil"/>
              <w:right w:val="nil"/>
            </w:tcBorders>
            <w:shd w:val="clear" w:color="auto" w:fill="FFFFFF" w:themeFill="background1"/>
            <w:vAlign w:val="center"/>
          </w:tcPr>
          <w:p w14:paraId="0897A561" w14:textId="77777777" w:rsidR="0028443C" w:rsidRPr="00887B68" w:rsidRDefault="0028443C" w:rsidP="00BB4BA6">
            <w:pPr>
              <w:spacing w:line="276" w:lineRule="auto"/>
              <w:rPr>
                <w:rFonts w:ascii="Arial" w:hAnsi="Arial" w:cs="Arial"/>
                <w:color w:val="6C6361"/>
                <w:sz w:val="23"/>
                <w:szCs w:val="23"/>
              </w:rPr>
            </w:pPr>
            <w:r w:rsidRPr="00887B68">
              <w:rPr>
                <w:rFonts w:ascii="Arial" w:hAnsi="Arial" w:cs="Arial"/>
                <w:color w:val="6C6361"/>
                <w:sz w:val="23"/>
                <w:szCs w:val="23"/>
              </w:rPr>
              <w:lastRenderedPageBreak/>
              <w:t>The seminar will also consider the use of the doctrine by defendants attempting to hide behind the attribution of their illegal acts to their principals.</w:t>
            </w:r>
          </w:p>
          <w:p w14:paraId="3CB02D57" w14:textId="77777777" w:rsidR="0028443C" w:rsidRPr="00887B68" w:rsidRDefault="0028443C" w:rsidP="00BB4BA6">
            <w:pPr>
              <w:spacing w:line="276" w:lineRule="auto"/>
              <w:rPr>
                <w:rFonts w:ascii="Arial" w:hAnsi="Arial" w:cs="Arial"/>
                <w:color w:val="6C6361"/>
                <w:sz w:val="10"/>
                <w:szCs w:val="10"/>
              </w:rPr>
            </w:pPr>
          </w:p>
          <w:p w14:paraId="4DC837CC" w14:textId="77777777" w:rsidR="0028443C" w:rsidRPr="00887B68" w:rsidRDefault="0028443C" w:rsidP="00BB4BA6">
            <w:pPr>
              <w:spacing w:line="276" w:lineRule="auto"/>
              <w:rPr>
                <w:rFonts w:ascii="Arial" w:hAnsi="Arial" w:cs="Arial"/>
                <w:color w:val="6C6361"/>
                <w:sz w:val="23"/>
                <w:szCs w:val="23"/>
              </w:rPr>
            </w:pPr>
            <w:r w:rsidRPr="00887B68">
              <w:rPr>
                <w:rFonts w:ascii="Arial" w:hAnsi="Arial" w:cs="Arial"/>
                <w:color w:val="6C6361"/>
                <w:sz w:val="23"/>
                <w:szCs w:val="23"/>
              </w:rPr>
              <w:t>The seminar will conclude by considering the application of the Range of Factors test in the UK and its possible application in Hong Kong.  In particular, the seminar will consider whether Hong Kong should continue to apply the Reliance Principle and its associated exceptions, adopt the Range of Factors Test, follow the guidance of other common law jurisdictions (</w:t>
            </w:r>
            <w:proofErr w:type="gramStart"/>
            <w:r w:rsidRPr="00887B68">
              <w:rPr>
                <w:rFonts w:ascii="Arial" w:hAnsi="Arial" w:cs="Arial"/>
                <w:color w:val="6C6361"/>
                <w:sz w:val="23"/>
                <w:szCs w:val="23"/>
              </w:rPr>
              <w:t>e.g.</w:t>
            </w:r>
            <w:proofErr w:type="gramEnd"/>
            <w:r w:rsidRPr="00887B68">
              <w:rPr>
                <w:rFonts w:ascii="Arial" w:hAnsi="Arial" w:cs="Arial"/>
                <w:color w:val="6C6361"/>
                <w:sz w:val="23"/>
                <w:szCs w:val="23"/>
              </w:rPr>
              <w:t xml:space="preserve"> Nelson v Nelson (1995) 184 CLR 538) or perhaps go its own way.</w:t>
            </w:r>
          </w:p>
        </w:tc>
      </w:tr>
    </w:tbl>
    <w:p w14:paraId="5AAC8729" w14:textId="77777777" w:rsidR="0028443C" w:rsidRDefault="0028443C" w:rsidP="0028443C">
      <w:pPr>
        <w:spacing w:line="276" w:lineRule="auto"/>
        <w:rPr>
          <w:rFonts w:ascii="Arial" w:hAnsi="Arial" w:cs="Arial"/>
          <w:sz w:val="20"/>
          <w:szCs w:val="14"/>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28443C" w:rsidRPr="002A7412" w14:paraId="0D6B5CE5" w14:textId="77777777" w:rsidTr="00BB4BA6">
        <w:trPr>
          <w:trHeight w:val="397"/>
          <w:jc w:val="center"/>
        </w:trPr>
        <w:tc>
          <w:tcPr>
            <w:tcW w:w="10773" w:type="dxa"/>
            <w:gridSpan w:val="2"/>
            <w:tcBorders>
              <w:top w:val="nil"/>
              <w:bottom w:val="nil"/>
              <w:right w:val="nil"/>
            </w:tcBorders>
            <w:shd w:val="clear" w:color="auto" w:fill="F0EBE1"/>
            <w:vAlign w:val="center"/>
          </w:tcPr>
          <w:p w14:paraId="27CA0D42" w14:textId="77777777" w:rsidR="0028443C" w:rsidRPr="002A7412" w:rsidRDefault="0028443C" w:rsidP="00BB4BA6">
            <w:pPr>
              <w:spacing w:line="276" w:lineRule="auto"/>
              <w:rPr>
                <w:rFonts w:ascii="Arial" w:hAnsi="Arial" w:cs="Arial"/>
                <w:b/>
                <w:color w:val="524B48"/>
                <w:sz w:val="23"/>
                <w:szCs w:val="23"/>
              </w:rPr>
            </w:pPr>
            <w:r w:rsidRPr="002A7412">
              <w:rPr>
                <w:rFonts w:ascii="Arial" w:hAnsi="Arial" w:cs="Arial"/>
                <w:b/>
                <w:color w:val="524B48"/>
                <w:sz w:val="23"/>
                <w:szCs w:val="23"/>
              </w:rPr>
              <w:t>Some of the topics which will be covered in this course include:</w:t>
            </w:r>
          </w:p>
        </w:tc>
      </w:tr>
      <w:tr w:rsidR="0028443C" w:rsidRPr="002A7412" w14:paraId="5B3D608D" w14:textId="77777777" w:rsidTr="00BB4BA6">
        <w:trPr>
          <w:trHeight w:val="6268"/>
          <w:jc w:val="center"/>
        </w:trPr>
        <w:tc>
          <w:tcPr>
            <w:tcW w:w="9072" w:type="dxa"/>
            <w:tcBorders>
              <w:top w:val="nil"/>
              <w:bottom w:val="nil"/>
            </w:tcBorders>
            <w:shd w:val="clear" w:color="auto" w:fill="FFFFFF" w:themeFill="background1"/>
            <w:vAlign w:val="center"/>
          </w:tcPr>
          <w:p w14:paraId="6AD76E58" w14:textId="77777777" w:rsidR="0028443C" w:rsidRPr="00887B68" w:rsidRDefault="0028443C" w:rsidP="00BB4BA6">
            <w:pPr>
              <w:pStyle w:val="ListParagraph"/>
              <w:numPr>
                <w:ilvl w:val="0"/>
                <w:numId w:val="1"/>
              </w:numPr>
              <w:spacing w:line="276" w:lineRule="auto"/>
              <w:ind w:right="-108"/>
              <w:jc w:val="left"/>
              <w:rPr>
                <w:rFonts w:ascii="Arial" w:hAnsi="Arial" w:cs="Arial"/>
                <w:color w:val="6C6361"/>
                <w:sz w:val="23"/>
                <w:szCs w:val="23"/>
              </w:rPr>
            </w:pPr>
            <w:r w:rsidRPr="00887B68">
              <w:rPr>
                <w:rFonts w:ascii="Arial" w:hAnsi="Arial" w:cs="Arial"/>
                <w:color w:val="6C6361"/>
                <w:sz w:val="23"/>
                <w:szCs w:val="23"/>
              </w:rPr>
              <w:t>The traditional approach of equity to issues of illegality in Gascoigne v Gascoigne [1918] 1 KB 223 and Tinker v Tinker [1970] 1 All ER 540;</w:t>
            </w:r>
          </w:p>
          <w:p w14:paraId="65B105CD" w14:textId="77777777" w:rsidR="0028443C" w:rsidRPr="00887B68" w:rsidRDefault="0028443C" w:rsidP="00BB4BA6">
            <w:pPr>
              <w:pStyle w:val="ListParagraph"/>
              <w:numPr>
                <w:ilvl w:val="0"/>
                <w:numId w:val="1"/>
              </w:numPr>
              <w:spacing w:line="276" w:lineRule="auto"/>
              <w:ind w:right="-108"/>
              <w:jc w:val="left"/>
              <w:rPr>
                <w:rFonts w:ascii="Arial" w:hAnsi="Arial" w:cs="Arial"/>
                <w:color w:val="6C6361"/>
                <w:sz w:val="23"/>
                <w:szCs w:val="23"/>
              </w:rPr>
            </w:pPr>
            <w:r w:rsidRPr="00887B68">
              <w:rPr>
                <w:rFonts w:ascii="Arial" w:hAnsi="Arial" w:cs="Arial"/>
                <w:color w:val="6C6361"/>
                <w:sz w:val="23"/>
                <w:szCs w:val="23"/>
              </w:rPr>
              <w:t>The supposed relaxation of the doctrine of illegality in the Reliance Principle as applied in Tinsley v Milligan [1994] 1 AC 340;</w:t>
            </w:r>
          </w:p>
          <w:p w14:paraId="53386F99" w14:textId="77777777" w:rsidR="0028443C" w:rsidRPr="00887B68" w:rsidRDefault="0028443C" w:rsidP="00BB4BA6">
            <w:pPr>
              <w:pStyle w:val="ListParagraph"/>
              <w:numPr>
                <w:ilvl w:val="0"/>
                <w:numId w:val="1"/>
              </w:numPr>
              <w:spacing w:line="276" w:lineRule="auto"/>
              <w:ind w:right="-108"/>
              <w:jc w:val="left"/>
              <w:rPr>
                <w:rFonts w:ascii="Arial" w:hAnsi="Arial" w:cs="Arial"/>
                <w:color w:val="6C6361"/>
                <w:sz w:val="23"/>
                <w:szCs w:val="23"/>
              </w:rPr>
            </w:pPr>
            <w:r w:rsidRPr="00887B68">
              <w:rPr>
                <w:rFonts w:ascii="Arial" w:hAnsi="Arial" w:cs="Arial"/>
                <w:color w:val="6C6361"/>
                <w:sz w:val="23"/>
                <w:szCs w:val="23"/>
              </w:rPr>
              <w:t>The doctrine of Locus poenitentiae: Tribe v. Tribe [1996] Ch 107;</w:t>
            </w:r>
          </w:p>
          <w:p w14:paraId="371E3087" w14:textId="77777777" w:rsidR="0028443C" w:rsidRPr="00887B68" w:rsidRDefault="0028443C" w:rsidP="00BB4BA6">
            <w:pPr>
              <w:pStyle w:val="ListParagraph"/>
              <w:numPr>
                <w:ilvl w:val="0"/>
                <w:numId w:val="1"/>
              </w:numPr>
              <w:spacing w:line="276" w:lineRule="auto"/>
              <w:ind w:right="-108"/>
              <w:jc w:val="left"/>
              <w:rPr>
                <w:rFonts w:ascii="Arial" w:hAnsi="Arial" w:cs="Arial"/>
                <w:color w:val="6C6361"/>
                <w:sz w:val="23"/>
                <w:szCs w:val="23"/>
              </w:rPr>
            </w:pPr>
            <w:r w:rsidRPr="00887B68">
              <w:rPr>
                <w:rFonts w:ascii="Arial" w:hAnsi="Arial" w:cs="Arial"/>
                <w:color w:val="6C6361"/>
                <w:sz w:val="23"/>
                <w:szCs w:val="23"/>
              </w:rPr>
              <w:t>There is no “true” illegality or the legislative prohibition is for “other mischief” Ali v Khan [2002] EWCA Civ 974;</w:t>
            </w:r>
          </w:p>
          <w:p w14:paraId="1C386CC2" w14:textId="77777777" w:rsidR="0028443C" w:rsidRPr="00887B68" w:rsidRDefault="0028443C" w:rsidP="00BB4BA6">
            <w:pPr>
              <w:pStyle w:val="ListParagraph"/>
              <w:numPr>
                <w:ilvl w:val="0"/>
                <w:numId w:val="1"/>
              </w:numPr>
              <w:spacing w:line="276" w:lineRule="auto"/>
              <w:ind w:right="-108"/>
              <w:jc w:val="left"/>
              <w:rPr>
                <w:rFonts w:ascii="Arial" w:hAnsi="Arial" w:cs="Arial"/>
                <w:color w:val="6C6361"/>
                <w:sz w:val="23"/>
                <w:szCs w:val="23"/>
              </w:rPr>
            </w:pPr>
            <w:r w:rsidRPr="00887B68">
              <w:rPr>
                <w:rFonts w:ascii="Arial" w:hAnsi="Arial" w:cs="Arial"/>
                <w:color w:val="6C6361"/>
                <w:sz w:val="23"/>
                <w:szCs w:val="23"/>
              </w:rPr>
              <w:t>Common sense approaches in Hong Kong to trusts in Home Ownership Scheme flats - Cheuk Shu Yin v Yip So Wan and Lo King Fai [2012] HKEC 1554;</w:t>
            </w:r>
          </w:p>
          <w:p w14:paraId="3BB10D6B" w14:textId="77777777" w:rsidR="0028443C" w:rsidRPr="00887B68" w:rsidRDefault="0028443C" w:rsidP="00BB4BA6">
            <w:pPr>
              <w:pStyle w:val="ListParagraph"/>
              <w:numPr>
                <w:ilvl w:val="0"/>
                <w:numId w:val="1"/>
              </w:numPr>
              <w:spacing w:line="276" w:lineRule="auto"/>
              <w:ind w:right="-108"/>
              <w:jc w:val="left"/>
              <w:rPr>
                <w:rFonts w:ascii="Arial" w:hAnsi="Arial" w:cs="Arial"/>
                <w:color w:val="6C6361"/>
                <w:sz w:val="23"/>
                <w:szCs w:val="23"/>
              </w:rPr>
            </w:pPr>
            <w:r w:rsidRPr="00887B68">
              <w:rPr>
                <w:rFonts w:ascii="Arial" w:hAnsi="Arial" w:cs="Arial"/>
                <w:color w:val="6C6361"/>
                <w:sz w:val="23"/>
                <w:szCs w:val="23"/>
              </w:rPr>
              <w:t xml:space="preserve">The Range of Factors Test as adopted by the UK Supreme Court in Patel v Mirza [2016] UKSC 42; </w:t>
            </w:r>
          </w:p>
          <w:p w14:paraId="125C8B87" w14:textId="77777777" w:rsidR="0028443C" w:rsidRPr="00887B68" w:rsidRDefault="0028443C" w:rsidP="00BB4BA6">
            <w:pPr>
              <w:pStyle w:val="ListParagraph"/>
              <w:numPr>
                <w:ilvl w:val="0"/>
                <w:numId w:val="1"/>
              </w:numPr>
              <w:spacing w:line="276" w:lineRule="auto"/>
              <w:ind w:right="-108"/>
              <w:jc w:val="left"/>
              <w:rPr>
                <w:rFonts w:ascii="Arial" w:hAnsi="Arial" w:cs="Arial"/>
                <w:color w:val="6C6361"/>
                <w:sz w:val="23"/>
                <w:szCs w:val="23"/>
              </w:rPr>
            </w:pPr>
            <w:r w:rsidRPr="00887B68">
              <w:rPr>
                <w:rFonts w:ascii="Arial" w:hAnsi="Arial" w:cs="Arial"/>
                <w:color w:val="6C6361"/>
                <w:sz w:val="23"/>
                <w:szCs w:val="23"/>
              </w:rPr>
              <w:t xml:space="preserve">Application of the Test by the Supreme Court in </w:t>
            </w:r>
            <w:proofErr w:type="spellStart"/>
            <w:r w:rsidRPr="00887B68">
              <w:rPr>
                <w:rFonts w:ascii="Arial" w:hAnsi="Arial" w:cs="Arial"/>
                <w:color w:val="6C6361"/>
                <w:sz w:val="23"/>
                <w:szCs w:val="23"/>
              </w:rPr>
              <w:t>Singularis</w:t>
            </w:r>
            <w:proofErr w:type="spellEnd"/>
            <w:r w:rsidRPr="00887B68">
              <w:rPr>
                <w:rFonts w:ascii="Arial" w:hAnsi="Arial" w:cs="Arial"/>
                <w:color w:val="6C6361"/>
                <w:sz w:val="23"/>
                <w:szCs w:val="23"/>
              </w:rPr>
              <w:t xml:space="preserve"> Holdings Limited (in liquidation) v Daiwa Capital Markets Europe Limited [2019] UKSC 50 and Stoffel &amp; Co v </w:t>
            </w:r>
            <w:proofErr w:type="spellStart"/>
            <w:r w:rsidRPr="00887B68">
              <w:rPr>
                <w:rFonts w:ascii="Arial" w:hAnsi="Arial" w:cs="Arial"/>
                <w:color w:val="6C6361"/>
                <w:sz w:val="23"/>
                <w:szCs w:val="23"/>
              </w:rPr>
              <w:t>Grondona</w:t>
            </w:r>
            <w:proofErr w:type="spellEnd"/>
            <w:r w:rsidRPr="00887B68">
              <w:rPr>
                <w:rFonts w:ascii="Arial" w:hAnsi="Arial" w:cs="Arial"/>
                <w:color w:val="6C6361"/>
                <w:sz w:val="23"/>
                <w:szCs w:val="23"/>
              </w:rPr>
              <w:t xml:space="preserve"> [2020] UKSC 42;</w:t>
            </w:r>
          </w:p>
          <w:p w14:paraId="036182BA" w14:textId="77777777" w:rsidR="0028443C" w:rsidRPr="00887B68" w:rsidRDefault="0028443C" w:rsidP="00BB4BA6">
            <w:pPr>
              <w:pStyle w:val="ListParagraph"/>
              <w:numPr>
                <w:ilvl w:val="0"/>
                <w:numId w:val="1"/>
              </w:numPr>
              <w:spacing w:line="276" w:lineRule="auto"/>
              <w:ind w:right="-108"/>
              <w:jc w:val="left"/>
              <w:rPr>
                <w:rFonts w:ascii="Arial" w:hAnsi="Arial" w:cs="Arial"/>
                <w:color w:val="6C6361"/>
                <w:sz w:val="23"/>
                <w:szCs w:val="23"/>
              </w:rPr>
            </w:pPr>
            <w:r w:rsidRPr="00887B68">
              <w:rPr>
                <w:rFonts w:ascii="Arial" w:hAnsi="Arial" w:cs="Arial"/>
                <w:color w:val="6C6361"/>
                <w:sz w:val="23"/>
                <w:szCs w:val="23"/>
              </w:rPr>
              <w:t>The application of the Test in professional negligence claims against solicitors by the UK Court of Appeal in Day v Womble Bond Dickinson [2020] EWCA Civ 447;</w:t>
            </w:r>
          </w:p>
          <w:p w14:paraId="4EE0D463" w14:textId="77777777" w:rsidR="0028443C" w:rsidRPr="00887B68" w:rsidRDefault="0028443C" w:rsidP="00BB4BA6">
            <w:pPr>
              <w:pStyle w:val="ListParagraph"/>
              <w:numPr>
                <w:ilvl w:val="0"/>
                <w:numId w:val="1"/>
              </w:numPr>
              <w:spacing w:line="276" w:lineRule="auto"/>
              <w:ind w:right="-108"/>
              <w:jc w:val="left"/>
              <w:rPr>
                <w:rFonts w:ascii="Arial" w:hAnsi="Arial" w:cs="Arial"/>
                <w:color w:val="6C6361"/>
                <w:sz w:val="23"/>
                <w:szCs w:val="23"/>
              </w:rPr>
            </w:pPr>
            <w:r w:rsidRPr="00887B68">
              <w:rPr>
                <w:rFonts w:ascii="Arial" w:hAnsi="Arial" w:cs="Arial"/>
                <w:color w:val="6C6361"/>
                <w:sz w:val="23"/>
                <w:szCs w:val="23"/>
              </w:rPr>
              <w:t xml:space="preserve">The application of the Test in Hong Kong: Chung Tin </w:t>
            </w:r>
            <w:proofErr w:type="spellStart"/>
            <w:r w:rsidRPr="00887B68">
              <w:rPr>
                <w:rFonts w:ascii="Arial" w:hAnsi="Arial" w:cs="Arial"/>
                <w:color w:val="6C6361"/>
                <w:sz w:val="23"/>
                <w:szCs w:val="23"/>
              </w:rPr>
              <w:t>Pui</w:t>
            </w:r>
            <w:proofErr w:type="spellEnd"/>
            <w:r w:rsidRPr="00887B68">
              <w:rPr>
                <w:rFonts w:ascii="Arial" w:hAnsi="Arial" w:cs="Arial"/>
                <w:color w:val="6C6361"/>
                <w:sz w:val="23"/>
                <w:szCs w:val="23"/>
              </w:rPr>
              <w:t xml:space="preserve"> v Li Pak Sau [2017] HKEC 2103;</w:t>
            </w:r>
          </w:p>
          <w:p w14:paraId="2240CA5C" w14:textId="77777777" w:rsidR="0028443C" w:rsidRPr="00887B68" w:rsidRDefault="0028443C" w:rsidP="00BB4BA6">
            <w:pPr>
              <w:pStyle w:val="ListParagraph"/>
              <w:numPr>
                <w:ilvl w:val="0"/>
                <w:numId w:val="1"/>
              </w:numPr>
              <w:spacing w:line="276" w:lineRule="auto"/>
              <w:ind w:right="-108"/>
              <w:jc w:val="left"/>
              <w:rPr>
                <w:rFonts w:ascii="Arial" w:hAnsi="Arial" w:cs="Arial"/>
                <w:color w:val="6C6361"/>
                <w:sz w:val="23"/>
                <w:szCs w:val="23"/>
              </w:rPr>
            </w:pPr>
            <w:r w:rsidRPr="00887B68">
              <w:rPr>
                <w:rFonts w:ascii="Arial" w:hAnsi="Arial" w:cs="Arial"/>
                <w:color w:val="6C6361"/>
                <w:sz w:val="23"/>
                <w:szCs w:val="23"/>
              </w:rPr>
              <w:t>The restriction of the Range of Factors Test in Hong Kong: Arrow ECS Norway AS v M Yang Trading Ltd [2018] HKCFI 975.</w:t>
            </w:r>
          </w:p>
        </w:tc>
        <w:tc>
          <w:tcPr>
            <w:tcW w:w="1701" w:type="dxa"/>
            <w:tcBorders>
              <w:top w:val="nil"/>
              <w:bottom w:val="nil"/>
              <w:right w:val="nil"/>
            </w:tcBorders>
            <w:shd w:val="clear" w:color="auto" w:fill="FFFFFF" w:themeFill="background1"/>
            <w:vAlign w:val="center"/>
          </w:tcPr>
          <w:p w14:paraId="2A9FF095" w14:textId="77777777" w:rsidR="0028443C" w:rsidRPr="00CC4283" w:rsidRDefault="0028443C" w:rsidP="00BB4BA6">
            <w:pPr>
              <w:spacing w:line="276" w:lineRule="auto"/>
              <w:jc w:val="center"/>
              <w:rPr>
                <w:rFonts w:ascii="Arial" w:hAnsi="Arial" w:cs="Arial"/>
                <w:color w:val="6C6361"/>
                <w:sz w:val="24"/>
                <w:szCs w:val="24"/>
              </w:rPr>
            </w:pPr>
          </w:p>
          <w:p w14:paraId="54DD50B4" w14:textId="77777777" w:rsidR="0028443C" w:rsidRPr="00CC4283" w:rsidRDefault="0028443C" w:rsidP="00BB4BA6">
            <w:pPr>
              <w:spacing w:line="276" w:lineRule="auto"/>
              <w:jc w:val="center"/>
              <w:rPr>
                <w:rFonts w:ascii="Arial" w:hAnsi="Arial" w:cs="Arial"/>
                <w:color w:val="6C6361"/>
                <w:sz w:val="24"/>
                <w:szCs w:val="24"/>
              </w:rPr>
            </w:pPr>
          </w:p>
          <w:p w14:paraId="496DFBA8" w14:textId="77777777" w:rsidR="0028443C" w:rsidRPr="00CC4283" w:rsidRDefault="0028443C" w:rsidP="00BB4BA6">
            <w:pPr>
              <w:spacing w:line="276" w:lineRule="auto"/>
              <w:jc w:val="center"/>
              <w:rPr>
                <w:rFonts w:ascii="Arial" w:hAnsi="Arial" w:cs="Arial"/>
                <w:color w:val="6C6361"/>
                <w:sz w:val="24"/>
                <w:szCs w:val="24"/>
              </w:rPr>
            </w:pPr>
          </w:p>
          <w:p w14:paraId="1B5C35F3" w14:textId="77777777" w:rsidR="0028443C" w:rsidRPr="00CC4283" w:rsidRDefault="0028443C" w:rsidP="00BB4BA6">
            <w:pPr>
              <w:spacing w:line="276" w:lineRule="auto"/>
              <w:jc w:val="center"/>
              <w:rPr>
                <w:rFonts w:ascii="Arial" w:hAnsi="Arial" w:cs="Arial"/>
                <w:color w:val="6C6361"/>
                <w:sz w:val="24"/>
                <w:szCs w:val="24"/>
              </w:rPr>
            </w:pPr>
          </w:p>
          <w:p w14:paraId="3B8E5D8E" w14:textId="77777777" w:rsidR="0028443C" w:rsidRPr="00CC4283" w:rsidRDefault="0028443C" w:rsidP="00BB4BA6">
            <w:pPr>
              <w:spacing w:line="276" w:lineRule="auto"/>
              <w:jc w:val="center"/>
              <w:rPr>
                <w:rFonts w:ascii="Arial" w:hAnsi="Arial" w:cs="Arial"/>
                <w:color w:val="6C6361"/>
                <w:sz w:val="24"/>
                <w:szCs w:val="24"/>
              </w:rPr>
            </w:pPr>
          </w:p>
          <w:p w14:paraId="5FA7E5DA" w14:textId="77777777" w:rsidR="0028443C" w:rsidRPr="00CC4283" w:rsidRDefault="0028443C" w:rsidP="00BB4BA6">
            <w:pPr>
              <w:spacing w:line="276" w:lineRule="auto"/>
              <w:jc w:val="center"/>
              <w:rPr>
                <w:rFonts w:ascii="Arial" w:hAnsi="Arial" w:cs="Arial"/>
                <w:color w:val="6C6361"/>
                <w:sz w:val="24"/>
                <w:szCs w:val="24"/>
              </w:rPr>
            </w:pPr>
          </w:p>
          <w:p w14:paraId="4729D129" w14:textId="77777777" w:rsidR="0028443C" w:rsidRPr="00CC4283" w:rsidRDefault="0028443C" w:rsidP="00BB4BA6">
            <w:pPr>
              <w:spacing w:line="276" w:lineRule="auto"/>
              <w:jc w:val="center"/>
              <w:rPr>
                <w:rFonts w:ascii="Arial" w:hAnsi="Arial" w:cs="Arial"/>
                <w:color w:val="6C6361"/>
                <w:sz w:val="24"/>
                <w:szCs w:val="24"/>
              </w:rPr>
            </w:pPr>
          </w:p>
          <w:p w14:paraId="2A49DA21" w14:textId="77777777" w:rsidR="0028443C" w:rsidRPr="00CC4283" w:rsidRDefault="0028443C" w:rsidP="00BB4BA6">
            <w:pPr>
              <w:spacing w:line="276" w:lineRule="auto"/>
              <w:jc w:val="center"/>
              <w:rPr>
                <w:rFonts w:ascii="Arial" w:hAnsi="Arial" w:cs="Arial"/>
                <w:color w:val="6C6361"/>
                <w:sz w:val="24"/>
                <w:szCs w:val="24"/>
              </w:rPr>
            </w:pPr>
          </w:p>
          <w:p w14:paraId="6E41DB5C" w14:textId="77777777" w:rsidR="0028443C" w:rsidRPr="00CC4283" w:rsidRDefault="0028443C" w:rsidP="00BB4BA6">
            <w:pPr>
              <w:spacing w:line="276" w:lineRule="auto"/>
              <w:jc w:val="center"/>
              <w:rPr>
                <w:rFonts w:ascii="Arial" w:hAnsi="Arial" w:cs="Arial"/>
                <w:color w:val="6C6361"/>
                <w:sz w:val="24"/>
                <w:szCs w:val="24"/>
              </w:rPr>
            </w:pPr>
          </w:p>
          <w:p w14:paraId="6F893B2D" w14:textId="77777777" w:rsidR="0028443C" w:rsidRPr="00CC4283" w:rsidRDefault="0028443C" w:rsidP="00BB4BA6">
            <w:pPr>
              <w:spacing w:line="276" w:lineRule="auto"/>
              <w:jc w:val="center"/>
              <w:rPr>
                <w:rFonts w:ascii="Arial" w:hAnsi="Arial" w:cs="Arial"/>
                <w:color w:val="6C6361"/>
                <w:sz w:val="24"/>
                <w:szCs w:val="24"/>
              </w:rPr>
            </w:pPr>
          </w:p>
          <w:p w14:paraId="7EB016C5" w14:textId="77777777" w:rsidR="0028443C" w:rsidRPr="00CC4283" w:rsidRDefault="0028443C" w:rsidP="00BB4BA6">
            <w:pPr>
              <w:spacing w:line="276" w:lineRule="auto"/>
              <w:jc w:val="center"/>
              <w:rPr>
                <w:rFonts w:ascii="Arial" w:hAnsi="Arial" w:cs="Arial"/>
                <w:color w:val="6C6361"/>
                <w:sz w:val="24"/>
                <w:szCs w:val="24"/>
              </w:rPr>
            </w:pPr>
          </w:p>
          <w:p w14:paraId="44667349" w14:textId="77777777" w:rsidR="0028443C" w:rsidRPr="00CC4283" w:rsidRDefault="0028443C" w:rsidP="00BB4BA6">
            <w:pPr>
              <w:spacing w:line="276" w:lineRule="auto"/>
              <w:jc w:val="center"/>
              <w:rPr>
                <w:rFonts w:ascii="Arial" w:hAnsi="Arial" w:cs="Arial"/>
                <w:color w:val="6C6361"/>
                <w:sz w:val="24"/>
                <w:szCs w:val="24"/>
              </w:rPr>
            </w:pPr>
          </w:p>
          <w:p w14:paraId="29618AC4" w14:textId="77777777" w:rsidR="0028443C" w:rsidRPr="00CC4283" w:rsidRDefault="0028443C" w:rsidP="00BB4BA6">
            <w:pPr>
              <w:spacing w:line="276" w:lineRule="auto"/>
              <w:jc w:val="center"/>
              <w:rPr>
                <w:rFonts w:ascii="Arial" w:hAnsi="Arial" w:cs="Arial"/>
                <w:color w:val="6C6361"/>
                <w:sz w:val="24"/>
                <w:szCs w:val="24"/>
              </w:rPr>
            </w:pPr>
          </w:p>
          <w:p w14:paraId="1E15537A" w14:textId="77777777" w:rsidR="0028443C" w:rsidRPr="00CC4283" w:rsidRDefault="0028443C" w:rsidP="00BB4BA6">
            <w:pPr>
              <w:spacing w:line="276" w:lineRule="auto"/>
              <w:jc w:val="center"/>
              <w:rPr>
                <w:rFonts w:ascii="Arial" w:hAnsi="Arial" w:cs="Arial"/>
                <w:color w:val="6C6361"/>
                <w:sz w:val="24"/>
                <w:szCs w:val="24"/>
              </w:rPr>
            </w:pPr>
          </w:p>
          <w:p w14:paraId="333033BB" w14:textId="77777777" w:rsidR="0028443C" w:rsidRPr="002A7412" w:rsidRDefault="0028443C" w:rsidP="00BB4BA6">
            <w:pPr>
              <w:spacing w:line="276" w:lineRule="auto"/>
              <w:jc w:val="center"/>
              <w:rPr>
                <w:rFonts w:ascii="Arial" w:hAnsi="Arial" w:cs="Arial"/>
                <w:color w:val="6C6361"/>
                <w:sz w:val="23"/>
                <w:szCs w:val="23"/>
              </w:rPr>
            </w:pPr>
            <w:r w:rsidRPr="002A7412">
              <w:rPr>
                <w:rFonts w:ascii="Arial" w:hAnsi="Arial" w:cs="Arial"/>
                <w:noProof/>
                <w:color w:val="6C6361"/>
                <w:sz w:val="23"/>
                <w:szCs w:val="23"/>
              </w:rPr>
              <w:drawing>
                <wp:inline distT="0" distB="0" distL="0" distR="0" wp14:anchorId="0F0E1D55" wp14:editId="2B87F22A">
                  <wp:extent cx="893416" cy="1022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3416" cy="1022395"/>
                          </a:xfrm>
                          <a:prstGeom prst="rect">
                            <a:avLst/>
                          </a:prstGeom>
                          <a:noFill/>
                          <a:ln>
                            <a:noFill/>
                          </a:ln>
                        </pic:spPr>
                      </pic:pic>
                    </a:graphicData>
                  </a:graphic>
                </wp:inline>
              </w:drawing>
            </w:r>
          </w:p>
        </w:tc>
      </w:tr>
    </w:tbl>
    <w:p w14:paraId="0B79E7AB" w14:textId="77777777" w:rsidR="0028443C" w:rsidRPr="00D005FC" w:rsidRDefault="0028443C" w:rsidP="00F373AA">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28443C" w:rsidRPr="00B90951" w14:paraId="1E7443B0" w14:textId="77777777" w:rsidTr="00D005FC">
        <w:trPr>
          <w:trHeight w:val="397"/>
          <w:jc w:val="center"/>
        </w:trPr>
        <w:tc>
          <w:tcPr>
            <w:tcW w:w="1701" w:type="dxa"/>
            <w:tcBorders>
              <w:top w:val="nil"/>
              <w:left w:val="nil"/>
              <w:bottom w:val="single" w:sz="12" w:space="0" w:color="FFFFFF"/>
            </w:tcBorders>
            <w:shd w:val="clear" w:color="auto" w:fill="F0EBE1"/>
            <w:vAlign w:val="center"/>
          </w:tcPr>
          <w:p w14:paraId="4B25C1D1" w14:textId="6A73B81C" w:rsidR="0028443C" w:rsidRPr="00320F79" w:rsidRDefault="0028443C" w:rsidP="00284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028944CC" w14:textId="49E9F181" w:rsidR="0028443C" w:rsidRPr="00320F79" w:rsidRDefault="0028443C" w:rsidP="00284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EVT000000390</w:t>
            </w:r>
          </w:p>
        </w:tc>
        <w:tc>
          <w:tcPr>
            <w:tcW w:w="1701" w:type="dxa"/>
            <w:tcBorders>
              <w:top w:val="nil"/>
              <w:bottom w:val="single" w:sz="12" w:space="0" w:color="FFFFFF"/>
            </w:tcBorders>
            <w:shd w:val="clear" w:color="auto" w:fill="F0EBE1"/>
            <w:vAlign w:val="center"/>
          </w:tcPr>
          <w:p w14:paraId="6720FFBA" w14:textId="4A228741" w:rsidR="0028443C" w:rsidRPr="00320F79" w:rsidRDefault="0028443C" w:rsidP="00284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77FF768F" w14:textId="3833916F" w:rsidR="0028443C" w:rsidRPr="00320F79" w:rsidRDefault="0028443C" w:rsidP="00284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28443C" w:rsidRPr="00B90951" w14:paraId="0DFFF51F" w14:textId="77777777" w:rsidTr="00D005FC">
        <w:trPr>
          <w:trHeight w:val="397"/>
          <w:jc w:val="center"/>
        </w:trPr>
        <w:tc>
          <w:tcPr>
            <w:tcW w:w="1701" w:type="dxa"/>
            <w:tcBorders>
              <w:top w:val="single" w:sz="12" w:space="0" w:color="FFFFFF"/>
              <w:left w:val="nil"/>
              <w:bottom w:val="single" w:sz="12" w:space="0" w:color="FFFFFF"/>
            </w:tcBorders>
            <w:shd w:val="clear" w:color="auto" w:fill="F0EBE1"/>
            <w:vAlign w:val="center"/>
          </w:tcPr>
          <w:p w14:paraId="6D55749A" w14:textId="36B54230" w:rsidR="0028443C" w:rsidRPr="00320F79" w:rsidRDefault="0028443C" w:rsidP="00284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49F39D61" w14:textId="70373903" w:rsidR="0028443C" w:rsidRPr="00682661" w:rsidRDefault="0028443C" w:rsidP="00284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4 May 2023 (Thursday)</w:t>
            </w:r>
          </w:p>
        </w:tc>
        <w:tc>
          <w:tcPr>
            <w:tcW w:w="1701" w:type="dxa"/>
            <w:tcBorders>
              <w:top w:val="single" w:sz="12" w:space="0" w:color="FFFFFF"/>
              <w:bottom w:val="single" w:sz="12" w:space="0" w:color="FFFFFF"/>
            </w:tcBorders>
            <w:shd w:val="clear" w:color="auto" w:fill="F0EBE1"/>
            <w:vAlign w:val="center"/>
          </w:tcPr>
          <w:p w14:paraId="21E97AFE" w14:textId="546F6326" w:rsidR="0028443C" w:rsidRPr="00320F79" w:rsidRDefault="0028443C" w:rsidP="00284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15202A35" w14:textId="179993E6" w:rsidR="0028443C" w:rsidRPr="00320F79" w:rsidRDefault="0028443C" w:rsidP="00284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28443C" w:rsidRPr="00B90951" w14:paraId="28027E09" w14:textId="77777777" w:rsidTr="00D005FC">
        <w:trPr>
          <w:trHeight w:val="397"/>
          <w:jc w:val="center"/>
        </w:trPr>
        <w:tc>
          <w:tcPr>
            <w:tcW w:w="1701" w:type="dxa"/>
            <w:tcBorders>
              <w:top w:val="single" w:sz="12" w:space="0" w:color="FFFFFF"/>
              <w:left w:val="nil"/>
              <w:bottom w:val="single" w:sz="12" w:space="0" w:color="FFFFFF"/>
            </w:tcBorders>
            <w:shd w:val="clear" w:color="auto" w:fill="F0EBE1"/>
            <w:vAlign w:val="center"/>
          </w:tcPr>
          <w:p w14:paraId="2F6B4CC7" w14:textId="133D9C9B" w:rsidR="0028443C" w:rsidRPr="00320F79" w:rsidRDefault="0028443C" w:rsidP="00284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4847C1D0" w14:textId="77777777" w:rsidR="0028443C" w:rsidRPr="00320F79" w:rsidRDefault="0028443C" w:rsidP="00284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 xml:space="preserve">:30 - </w:t>
            </w:r>
            <w:r>
              <w:rPr>
                <w:rFonts w:ascii="Arial" w:hAnsi="Arial" w:cs="Arial"/>
                <w:b/>
                <w:color w:val="6C6361"/>
                <w:sz w:val="20"/>
                <w:szCs w:val="20"/>
              </w:rPr>
              <w:t>17</w:t>
            </w:r>
            <w:r w:rsidRPr="00320F79">
              <w:rPr>
                <w:rFonts w:ascii="Arial" w:hAnsi="Arial" w:cs="Arial"/>
                <w:b/>
                <w:color w:val="6C6361"/>
                <w:sz w:val="20"/>
                <w:szCs w:val="20"/>
              </w:rPr>
              <w:t>:45</w:t>
            </w:r>
          </w:p>
          <w:p w14:paraId="71CBFC2E" w14:textId="03E3196A" w:rsidR="0028443C" w:rsidRPr="00320F79" w:rsidRDefault="0028443C" w:rsidP="00284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39967137" w14:textId="1067F7DE" w:rsidR="0028443C" w:rsidRPr="00320F79" w:rsidRDefault="0028443C" w:rsidP="00284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5B82123C" w14:textId="3C95E182" w:rsidR="0028443C" w:rsidRPr="00682661" w:rsidRDefault="0028443C" w:rsidP="00284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LSHK</w:t>
            </w:r>
            <w:r>
              <w:rPr>
                <w:rFonts w:ascii="Arial" w:hAnsi="Arial" w:cs="Arial"/>
                <w:b/>
                <w:color w:val="6C6361"/>
                <w:sz w:val="20"/>
                <w:szCs w:val="20"/>
              </w:rPr>
              <w:t xml:space="preserve"> 3.0</w:t>
            </w:r>
            <w:r w:rsidRPr="00320F79">
              <w:rPr>
                <w:rFonts w:ascii="Arial" w:hAnsi="Arial" w:cs="Arial"/>
                <w:b/>
                <w:color w:val="6C6361"/>
                <w:sz w:val="20"/>
                <w:szCs w:val="20"/>
              </w:rPr>
              <w:t xml:space="preserve"> CPD Points</w:t>
            </w:r>
          </w:p>
        </w:tc>
      </w:tr>
      <w:tr w:rsidR="00F373AA" w:rsidRPr="00B90951" w14:paraId="44834AD8" w14:textId="77777777" w:rsidTr="00D005FC">
        <w:trPr>
          <w:trHeight w:val="397"/>
          <w:jc w:val="center"/>
        </w:trPr>
        <w:tc>
          <w:tcPr>
            <w:tcW w:w="1701" w:type="dxa"/>
            <w:tcBorders>
              <w:top w:val="single" w:sz="12" w:space="0" w:color="FFFFFF"/>
              <w:left w:val="nil"/>
              <w:bottom w:val="nil"/>
            </w:tcBorders>
            <w:shd w:val="clear" w:color="auto" w:fill="F0EBE1"/>
            <w:vAlign w:val="center"/>
          </w:tcPr>
          <w:p w14:paraId="02A9EAE0"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4BA4516A" w14:textId="77777777" w:rsidR="00F373AA"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79D438A2" w14:textId="77777777" w:rsidR="00F373AA" w:rsidRPr="002D6743"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5D8D899F" w14:textId="77777777" w:rsidR="00F373AA" w:rsidRPr="00B90951"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19E592D3"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173E5803"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4DC316C6"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center"/>
          </w:tcPr>
          <w:p w14:paraId="63ACDDA9" w14:textId="77777777" w:rsidR="00F373AA" w:rsidRDefault="00F373AA" w:rsidP="00F373AA">
            <w:pPr>
              <w:jc w:val="left"/>
              <w:rPr>
                <w:rFonts w:ascii="Arial" w:hAnsi="Arial" w:cs="Arial"/>
                <w:b/>
                <w:color w:val="6C6361"/>
                <w:sz w:val="20"/>
                <w:szCs w:val="20"/>
              </w:rPr>
            </w:pPr>
          </w:p>
          <w:p w14:paraId="683125B5" w14:textId="77777777" w:rsidR="00F373AA" w:rsidRDefault="00F373AA" w:rsidP="00F373AA">
            <w:pPr>
              <w:jc w:val="left"/>
              <w:rPr>
                <w:rFonts w:ascii="Arial" w:hAnsi="Arial" w:cs="Arial"/>
                <w:b/>
                <w:color w:val="6C6361"/>
                <w:sz w:val="20"/>
                <w:szCs w:val="20"/>
              </w:rPr>
            </w:pPr>
          </w:p>
          <w:p w14:paraId="1CAAF6AF" w14:textId="77777777" w:rsidR="00F373AA" w:rsidRDefault="00F373AA" w:rsidP="00F373AA">
            <w:pPr>
              <w:jc w:val="left"/>
              <w:rPr>
                <w:rFonts w:ascii="Arial" w:hAnsi="Arial" w:cs="Arial"/>
                <w:b/>
                <w:color w:val="6C6361"/>
                <w:sz w:val="20"/>
                <w:szCs w:val="20"/>
              </w:rPr>
            </w:pPr>
          </w:p>
          <w:p w14:paraId="504D7FCC" w14:textId="40807F93" w:rsidR="00F373AA" w:rsidRPr="00B90951" w:rsidRDefault="00F373AA" w:rsidP="00F373AA">
            <w:pPr>
              <w:jc w:val="lef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20509194" wp14:editId="4DEDA89E">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482C9518" w14:textId="77777777" w:rsidR="00F373AA" w:rsidRPr="00B90951" w:rsidRDefault="00F373AA" w:rsidP="00F373AA">
            <w:pPr>
              <w:jc w:val="lef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71608757"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F351BB4"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53748F0C"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39A0A437"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62C89830"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40036F">
              <w:rPr>
                <w:rFonts w:ascii="Arial" w:eastAsia="Times New Roman" w:hAnsi="Arial" w:cs="Arial"/>
                <w:b/>
                <w:noProof/>
                <w:color w:val="6C6361"/>
              </w:rPr>
              <w:drawing>
                <wp:inline distT="0" distB="0" distL="0" distR="0" wp14:anchorId="316A84AC" wp14:editId="5E709B11">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BDB1F66" w14:textId="77777777" w:rsidR="00F373AA" w:rsidRPr="00680C81" w:rsidRDefault="00F373AA" w:rsidP="00F373AA">
      <w:pPr>
        <w:rPr>
          <w:sz w:val="2"/>
          <w:szCs w:val="2"/>
        </w:rPr>
      </w:pPr>
    </w:p>
    <w:sectPr w:rsidR="00F373AA"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B64BD" w14:textId="77777777" w:rsidR="00F30351" w:rsidRDefault="00F30351" w:rsidP="00546556">
      <w:r>
        <w:separator/>
      </w:r>
    </w:p>
  </w:endnote>
  <w:endnote w:type="continuationSeparator" w:id="0">
    <w:p w14:paraId="44157099" w14:textId="77777777" w:rsidR="00F30351" w:rsidRDefault="00F30351"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FA4ED"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4E12162C" w14:textId="77777777" w:rsidTr="00A775CE">
      <w:trPr>
        <w:trHeight w:val="1824"/>
        <w:jc w:val="center"/>
      </w:trPr>
      <w:tc>
        <w:tcPr>
          <w:tcW w:w="5954" w:type="dxa"/>
          <w:vAlign w:val="bottom"/>
        </w:tcPr>
        <w:p w14:paraId="0807244B"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1364C79" wp14:editId="1B20620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1507FF08" w14:textId="77777777" w:rsidR="00197F64" w:rsidRPr="00EA2D57" w:rsidRDefault="00197F64" w:rsidP="00197F64">
          <w:pPr>
            <w:ind w:right="33"/>
            <w:jc w:val="center"/>
            <w:rPr>
              <w:rFonts w:ascii="Arial" w:hAnsi="Arial" w:cs="Arial"/>
              <w:color w:val="E4DCCA"/>
              <w:sz w:val="16"/>
              <w:szCs w:val="16"/>
            </w:rPr>
          </w:pPr>
        </w:p>
        <w:p w14:paraId="6ECF88B5"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2ABC6770"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8D90BE1"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9A9888F"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445C5BA3" wp14:editId="2634660E">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57E8BD46"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16B212C7"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488728CB"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0434DF0C"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7B5D8707"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26E96EED"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3D385" w14:textId="77777777" w:rsidR="00F30351" w:rsidRDefault="00F30351" w:rsidP="00546556">
      <w:r>
        <w:separator/>
      </w:r>
    </w:p>
  </w:footnote>
  <w:footnote w:type="continuationSeparator" w:id="0">
    <w:p w14:paraId="0D613C64" w14:textId="77777777" w:rsidR="00F30351" w:rsidRDefault="00F30351"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2C9A5" w14:textId="77777777" w:rsidR="002C4DC0" w:rsidRDefault="00F0384F">
    <w:pPr>
      <w:pStyle w:val="Header"/>
    </w:pPr>
    <w:r>
      <w:rPr>
        <w:noProof/>
      </w:rPr>
      <w:drawing>
        <wp:anchor distT="0" distB="0" distL="114300" distR="114300" simplePos="0" relativeHeight="251659264" behindDoc="1" locked="0" layoutInCell="1" allowOverlap="1" wp14:anchorId="5F6E8049" wp14:editId="2D3C6688">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leNyCqkcc+MVRLtQSEfOHm7W8n4qjGku0UZWEtd/mDj4l68ZJgrLsdGlHGf1dTkPriXsR1n1ezgTghLepdUr3w==" w:salt="wIGvhSLLQv4NTRHPMsmxVA=="/>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58F"/>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75F"/>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48C6"/>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1B0"/>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204B"/>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443C"/>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2F9"/>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38C"/>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3E2"/>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B7EE6"/>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4DFA"/>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6D90"/>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46A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2FFD"/>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1A9A"/>
    <w:rsid w:val="00CE34E3"/>
    <w:rsid w:val="00CE6141"/>
    <w:rsid w:val="00CE6A00"/>
    <w:rsid w:val="00CE6D02"/>
    <w:rsid w:val="00CF114C"/>
    <w:rsid w:val="00CF1379"/>
    <w:rsid w:val="00CF1E31"/>
    <w:rsid w:val="00CF37FA"/>
    <w:rsid w:val="00D005FC"/>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35C"/>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51"/>
    <w:rsid w:val="00F303D5"/>
    <w:rsid w:val="00F30AC2"/>
    <w:rsid w:val="00F33B3A"/>
    <w:rsid w:val="00F343D1"/>
    <w:rsid w:val="00F350ED"/>
    <w:rsid w:val="00F35C17"/>
    <w:rsid w:val="00F373AA"/>
    <w:rsid w:val="00F37A06"/>
    <w:rsid w:val="00F37A44"/>
    <w:rsid w:val="00F37E28"/>
    <w:rsid w:val="00F40B43"/>
    <w:rsid w:val="00F41331"/>
    <w:rsid w:val="00F41817"/>
    <w:rsid w:val="00F4210B"/>
    <w:rsid w:val="00F4254B"/>
    <w:rsid w:val="00F435D0"/>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2294"/>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13375"/>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F373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9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0344D-7F8F-4861-AE57-1D4FA39F4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Pages>
  <Words>734</Words>
  <Characters>4189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CPD Course: Updates on Equity and Trusts 2023</vt:lpstr>
    </vt:vector>
  </TitlesOfParts>
  <Manager>Tyrone Tsang</Manager>
  <Company>The Profectional Company Limited</Company>
  <LinksUpToDate>false</LinksUpToDate>
  <CharactersWithSpaces>4914</CharactersWithSpaces>
  <SharedDoc>false</SharedDoc>
  <HyperlinkBase>http://download.profectional.com/events/EVT000000390.docx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Illegality, Equity and Trusts in Hong Kong: Clean Hands, Ex Turpi Causa, Reliance, Locus Poenitentiae, Range of Factors or What?</dc:title>
  <dc:subject>CPD Course: Illegality, Equity and Trusts in Hong Kong: Clean Hands, Ex Turpi Causa, Reliance, Locus Poenitentiae, Range of Factors or What?</dc:subject>
  <dc:creator>The Profectional Company Limited</dc:creator>
  <cp:keywords>Profectional; Kornerstone; CPD; CPT; CLE; CE; RME; Steven Gallagher; Professor of Practice in Law; Associate Dean (Academic &amp; Student Affairs);The Faculty of Law; The Chinese University of Hong Kong</cp:keywords>
  <dc:description/>
  <cp:lastModifiedBy>Tyrone Tsang</cp:lastModifiedBy>
  <cp:revision>63</cp:revision>
  <cp:lastPrinted>2023-05-03T09:39:00Z</cp:lastPrinted>
  <dcterms:created xsi:type="dcterms:W3CDTF">2017-01-12T02:41:00Z</dcterms:created>
  <dcterms:modified xsi:type="dcterms:W3CDTF">2023-05-03T09:39:00Z</dcterms:modified>
  <cp:category/>
</cp:coreProperties>
</file>