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47C54" w14:textId="77777777" w:rsidR="00EB5409" w:rsidRPr="00EB5409" w:rsidRDefault="00EB5409" w:rsidP="00EB5409">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EB5409" w:rsidRPr="00523A64" w14:paraId="09D61BFD" w14:textId="77777777" w:rsidTr="00962D12">
        <w:trPr>
          <w:trHeight w:val="3119"/>
          <w:jc w:val="center"/>
        </w:trPr>
        <w:tc>
          <w:tcPr>
            <w:tcW w:w="4797" w:type="dxa"/>
            <w:shd w:val="clear" w:color="auto" w:fill="FFFFFF"/>
            <w:vAlign w:val="center"/>
          </w:tcPr>
          <w:p w14:paraId="59A26786" w14:textId="77777777" w:rsidR="00EB5409" w:rsidRPr="001A3018" w:rsidRDefault="00EB5409" w:rsidP="00962D12">
            <w:pPr>
              <w:jc w:val="center"/>
              <w:rPr>
                <w:rFonts w:ascii="Arial" w:hAnsi="Arial" w:cs="Arial"/>
                <w:b/>
                <w:bCs/>
                <w:color w:val="524B48"/>
                <w:sz w:val="4"/>
                <w:szCs w:val="4"/>
              </w:rPr>
            </w:pPr>
          </w:p>
          <w:p w14:paraId="466A64AF" w14:textId="77777777" w:rsidR="00EB5409" w:rsidRDefault="00EB5409" w:rsidP="00962D12">
            <w:pPr>
              <w:jc w:val="center"/>
              <w:rPr>
                <w:rStyle w:val="Hyperlink"/>
                <w:rFonts w:ascii="Arial" w:hAnsi="Arial" w:cs="Arial"/>
                <w:b/>
                <w:bCs/>
                <w:color w:val="524B48"/>
                <w:sz w:val="32"/>
                <w:szCs w:val="32"/>
                <w:u w:val="none"/>
              </w:rPr>
            </w:pPr>
            <w:r w:rsidRPr="00CF685C">
              <w:fldChar w:fldCharType="begin"/>
            </w:r>
            <w:r>
              <w:instrText>HYPERLINK "http://cpd.hk/evt000000391/"</w:instrText>
            </w:r>
            <w:r w:rsidRPr="00CF685C">
              <w:fldChar w:fldCharType="separate"/>
            </w:r>
            <w:r>
              <w:rPr>
                <w:rStyle w:val="Hyperlink"/>
                <w:rFonts w:ascii="Arial" w:hAnsi="Arial" w:cs="Arial"/>
                <w:b/>
                <w:bCs/>
                <w:color w:val="524B48"/>
                <w:sz w:val="32"/>
                <w:szCs w:val="32"/>
                <w:u w:val="none"/>
              </w:rPr>
              <w:t>Unjust Enrichment:</w:t>
            </w:r>
          </w:p>
          <w:p w14:paraId="7AA561B7" w14:textId="77777777" w:rsidR="00EB5409" w:rsidRDefault="00EB5409" w:rsidP="00962D1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Does it Exist and </w:t>
            </w:r>
            <w:proofErr w:type="gramStart"/>
            <w:r>
              <w:rPr>
                <w:rStyle w:val="Hyperlink"/>
                <w:rFonts w:ascii="Arial" w:hAnsi="Arial" w:cs="Arial"/>
                <w:b/>
                <w:bCs/>
                <w:color w:val="524B48"/>
                <w:sz w:val="32"/>
                <w:szCs w:val="32"/>
                <w:u w:val="none"/>
              </w:rPr>
              <w:t>if So,</w:t>
            </w:r>
            <w:proofErr w:type="gramEnd"/>
          </w:p>
          <w:p w14:paraId="35A2A902" w14:textId="77777777" w:rsidR="00EB5409" w:rsidRDefault="00EB5409" w:rsidP="00962D1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What is it, Where is </w:t>
            </w:r>
            <w:proofErr w:type="gramStart"/>
            <w:r>
              <w:rPr>
                <w:rStyle w:val="Hyperlink"/>
                <w:rFonts w:ascii="Arial" w:hAnsi="Arial" w:cs="Arial"/>
                <w:b/>
                <w:bCs/>
                <w:color w:val="524B48"/>
                <w:sz w:val="32"/>
                <w:szCs w:val="32"/>
                <w:u w:val="none"/>
              </w:rPr>
              <w:t>it</w:t>
            </w:r>
            <w:proofErr w:type="gramEnd"/>
          </w:p>
          <w:p w14:paraId="3C3A918F" w14:textId="77777777" w:rsidR="00EB5409" w:rsidRDefault="00EB5409" w:rsidP="00962D1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Going and Can We</w:t>
            </w:r>
          </w:p>
          <w:p w14:paraId="2DEF0101" w14:textId="77777777" w:rsidR="00EB5409" w:rsidRDefault="00EB5409" w:rsidP="00962D1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Humanely Dispose of it?</w:t>
            </w:r>
          </w:p>
          <w:p w14:paraId="450645F9" w14:textId="77777777" w:rsidR="00EB5409" w:rsidRPr="00C65AFD" w:rsidRDefault="00EB5409" w:rsidP="00962D12">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1CB74DA8" w14:textId="77777777" w:rsidR="00EB5409" w:rsidRPr="00C65AFD" w:rsidRDefault="00EB5409" w:rsidP="00962D12">
            <w:pPr>
              <w:jc w:val="center"/>
              <w:rPr>
                <w:rFonts w:ascii="Arial" w:hAnsi="Arial" w:cs="Arial"/>
                <w:i/>
                <w:color w:val="6C6361"/>
                <w:sz w:val="24"/>
                <w:szCs w:val="24"/>
              </w:rPr>
            </w:pPr>
            <w:r w:rsidRPr="00C65AFD">
              <w:rPr>
                <w:rFonts w:ascii="Arial" w:hAnsi="Arial" w:cs="Arial"/>
                <w:i/>
                <w:color w:val="6C6361"/>
                <w:sz w:val="24"/>
                <w:szCs w:val="24"/>
              </w:rPr>
              <w:t>by</w:t>
            </w:r>
          </w:p>
          <w:p w14:paraId="3F2AE499" w14:textId="77777777" w:rsidR="00EB5409" w:rsidRDefault="00EB5409" w:rsidP="00962D12">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6B908EC1" w14:textId="77777777" w:rsidR="00EB5409" w:rsidRDefault="00EB5409" w:rsidP="00962D12">
            <w:pPr>
              <w:jc w:val="center"/>
              <w:rPr>
                <w:rFonts w:ascii="Arial" w:hAnsi="Arial" w:cs="Arial"/>
                <w:color w:val="6C6361"/>
                <w:sz w:val="24"/>
                <w:szCs w:val="24"/>
              </w:rPr>
            </w:pPr>
            <w:r>
              <w:rPr>
                <w:rFonts w:ascii="Arial" w:hAnsi="Arial" w:cs="Arial"/>
                <w:color w:val="6C6361"/>
                <w:sz w:val="24"/>
                <w:szCs w:val="24"/>
              </w:rPr>
              <w:t>Professor of Practice in Law,</w:t>
            </w:r>
          </w:p>
          <w:p w14:paraId="23C185C4" w14:textId="77777777" w:rsidR="00EB5409" w:rsidRDefault="00EB5409" w:rsidP="00962D12">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w:t>
            </w:r>
          </w:p>
          <w:p w14:paraId="52356939" w14:textId="77777777" w:rsidR="00EB5409" w:rsidRDefault="00EB5409" w:rsidP="00962D12">
            <w:pPr>
              <w:jc w:val="center"/>
              <w:rPr>
                <w:rFonts w:ascii="Arial" w:hAnsi="Arial" w:cs="Arial"/>
                <w:color w:val="6C6361"/>
                <w:sz w:val="24"/>
                <w:szCs w:val="24"/>
              </w:rPr>
            </w:pPr>
            <w:r>
              <w:rPr>
                <w:rFonts w:ascii="Arial" w:hAnsi="Arial" w:cs="Arial"/>
                <w:color w:val="6C6361"/>
                <w:sz w:val="24"/>
                <w:szCs w:val="24"/>
              </w:rPr>
              <w:t>(Academic &amp; Student Affairs),</w:t>
            </w:r>
          </w:p>
          <w:p w14:paraId="66129250" w14:textId="77777777" w:rsidR="00EB5409" w:rsidRDefault="00EB5409" w:rsidP="00962D12">
            <w:pPr>
              <w:jc w:val="center"/>
              <w:rPr>
                <w:rFonts w:ascii="Arial" w:hAnsi="Arial" w:cs="Arial"/>
                <w:color w:val="6C6361"/>
                <w:sz w:val="24"/>
                <w:szCs w:val="24"/>
              </w:rPr>
            </w:pPr>
            <w:r>
              <w:rPr>
                <w:rFonts w:ascii="Arial" w:hAnsi="Arial" w:cs="Arial"/>
                <w:color w:val="6C6361"/>
                <w:sz w:val="24"/>
                <w:szCs w:val="24"/>
              </w:rPr>
              <w:t>The Faculty of Law,</w:t>
            </w:r>
          </w:p>
          <w:p w14:paraId="7183E266" w14:textId="77777777" w:rsidR="00EB5409" w:rsidRPr="007E02E6" w:rsidRDefault="00EB5409" w:rsidP="00962D12">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6B914D00" w14:textId="77777777" w:rsidR="00EB5409" w:rsidRPr="00D87ECF" w:rsidRDefault="00EB5409" w:rsidP="00962D12">
            <w:pPr>
              <w:jc w:val="center"/>
              <w:rPr>
                <w:rFonts w:ascii="Arial" w:hAnsi="Arial" w:cs="Arial"/>
                <w:color w:val="6C6361"/>
                <w:sz w:val="8"/>
                <w:szCs w:val="8"/>
              </w:rPr>
            </w:pPr>
          </w:p>
        </w:tc>
        <w:tc>
          <w:tcPr>
            <w:tcW w:w="5976" w:type="dxa"/>
            <w:shd w:val="clear" w:color="auto" w:fill="FFFFFF"/>
            <w:vAlign w:val="center"/>
          </w:tcPr>
          <w:p w14:paraId="4043F335" w14:textId="77777777" w:rsidR="00EB5409" w:rsidRPr="00D50772" w:rsidRDefault="00EB5409" w:rsidP="00962D12">
            <w:pPr>
              <w:spacing w:line="276" w:lineRule="auto"/>
              <w:rPr>
                <w:rFonts w:ascii="Arial" w:eastAsia="Times New Roman" w:hAnsi="Arial" w:cs="Arial"/>
                <w:noProof/>
                <w:sz w:val="20"/>
                <w:szCs w:val="20"/>
              </w:rPr>
            </w:pPr>
            <w:r w:rsidRPr="00A329F3">
              <w:rPr>
                <w:rFonts w:ascii="Arial" w:eastAsia="Times New Roman" w:hAnsi="Arial" w:cs="Arial"/>
                <w:noProof/>
                <w:sz w:val="20"/>
                <w:szCs w:val="20"/>
              </w:rPr>
              <w:drawing>
                <wp:anchor distT="0" distB="0" distL="114300" distR="114300" simplePos="0" relativeHeight="251659264" behindDoc="0" locked="0" layoutInCell="1" allowOverlap="1" wp14:anchorId="4D29F8F3" wp14:editId="5E405944">
                  <wp:simplePos x="0" y="0"/>
                  <wp:positionH relativeFrom="column">
                    <wp:posOffset>3171825</wp:posOffset>
                  </wp:positionH>
                  <wp:positionV relativeFrom="paragraph">
                    <wp:posOffset>-387985</wp:posOffset>
                  </wp:positionV>
                  <wp:extent cx="539750" cy="539750"/>
                  <wp:effectExtent l="0" t="0" r="6350" b="6350"/>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5AD817C" wp14:editId="4C4D4E95">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75FC6351" w14:textId="77777777" w:rsidR="00EB5409" w:rsidRPr="003343A9" w:rsidRDefault="00EB5409" w:rsidP="00EB5409">
      <w:pPr>
        <w:spacing w:line="276" w:lineRule="auto"/>
        <w:jc w:val="left"/>
        <w:rPr>
          <w:rFonts w:ascii="Arial" w:hAnsi="Arial" w:cs="Arial"/>
          <w:sz w:val="20"/>
          <w:szCs w:val="24"/>
        </w:rPr>
      </w:pPr>
    </w:p>
    <w:tbl>
      <w:tblPr>
        <w:tblW w:w="10773" w:type="dxa"/>
        <w:jc w:val="center"/>
        <w:tblLook w:val="04A0" w:firstRow="1" w:lastRow="0" w:firstColumn="1" w:lastColumn="0" w:noHBand="0" w:noVBand="1"/>
      </w:tblPr>
      <w:tblGrid>
        <w:gridCol w:w="1985"/>
        <w:gridCol w:w="8788"/>
      </w:tblGrid>
      <w:tr w:rsidR="00EB5409" w:rsidRPr="000F3FFC" w14:paraId="4352A8F2" w14:textId="77777777" w:rsidTr="00962D12">
        <w:trPr>
          <w:trHeight w:val="2501"/>
          <w:jc w:val="center"/>
        </w:trPr>
        <w:tc>
          <w:tcPr>
            <w:tcW w:w="1985" w:type="dxa"/>
            <w:shd w:val="clear" w:color="auto" w:fill="FFFFFF"/>
            <w:vAlign w:val="center"/>
          </w:tcPr>
          <w:p w14:paraId="6E7B1348" w14:textId="77777777" w:rsidR="00EB5409" w:rsidRPr="000F3FFC" w:rsidRDefault="00EB5409" w:rsidP="00962D12">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4CCC907B" wp14:editId="5ECF9D2B">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029FB0EA" w14:textId="77777777" w:rsidR="00EB5409" w:rsidRPr="0033673A" w:rsidRDefault="00EB5409" w:rsidP="00962D12">
            <w:pPr>
              <w:rPr>
                <w:rFonts w:ascii="Arial" w:hAnsi="Arial" w:cs="Arial"/>
                <w:color w:val="6C6361"/>
                <w:sz w:val="24"/>
                <w:szCs w:val="21"/>
              </w:rPr>
            </w:pPr>
            <w:r w:rsidRPr="00262CC7">
              <w:rPr>
                <w:rFonts w:ascii="Arial" w:hAnsi="Arial" w:cs="Arial"/>
                <w:color w:val="6C6361"/>
                <w:sz w:val="24"/>
                <w:szCs w:val="21"/>
              </w:rPr>
              <w:t xml:space="preserve">Steven Gallagher was awarded a </w:t>
            </w:r>
            <w:proofErr w:type="gramStart"/>
            <w:r w:rsidRPr="00262CC7">
              <w:rPr>
                <w:rFonts w:ascii="Arial" w:hAnsi="Arial" w:cs="Arial"/>
                <w:color w:val="6C6361"/>
                <w:sz w:val="24"/>
                <w:szCs w:val="21"/>
              </w:rPr>
              <w:t>first class</w:t>
            </w:r>
            <w:proofErr w:type="gramEnd"/>
            <w:r w:rsidRPr="00262CC7">
              <w:rPr>
                <w:rFonts w:ascii="Arial" w:hAnsi="Arial" w:cs="Arial"/>
                <w:color w:val="6C6361"/>
                <w:sz w:val="24"/>
                <w:szCs w:val="21"/>
              </w:rPr>
              <w:t xml:space="preserve"> LL.B.  He was called to the Bar of England and Wales in 2006.  Steven teaches equity and trusts, property law, and art, antiquities, cultural heritage and the law.  Steven has presented continuing professional development courses for solicitors in Hong Kong on many topics associated with property law.  Steven’s research interests include equity and the law of trusts, Chinese custom and law, cultural heritage law, and law and technology.</w:t>
            </w:r>
          </w:p>
        </w:tc>
      </w:tr>
    </w:tbl>
    <w:p w14:paraId="55281EA3" w14:textId="77777777" w:rsidR="00EB5409" w:rsidRPr="003343A9" w:rsidRDefault="00EB5409" w:rsidP="00EB5409">
      <w:pPr>
        <w:spacing w:line="276" w:lineRule="auto"/>
        <w:jc w:val="left"/>
        <w:rPr>
          <w:rFonts w:ascii="Arial" w:hAnsi="Arial" w:cs="Arial"/>
          <w:sz w:val="20"/>
          <w:szCs w:val="28"/>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EB5409" w:rsidRPr="003343A9" w14:paraId="3A0E1543" w14:textId="77777777" w:rsidTr="00962D12">
        <w:trPr>
          <w:trHeight w:val="5106"/>
          <w:jc w:val="center"/>
        </w:trPr>
        <w:tc>
          <w:tcPr>
            <w:tcW w:w="10773" w:type="dxa"/>
            <w:tcBorders>
              <w:top w:val="nil"/>
              <w:bottom w:val="nil"/>
            </w:tcBorders>
            <w:shd w:val="clear" w:color="auto" w:fill="FFFFFF" w:themeFill="background1"/>
            <w:vAlign w:val="center"/>
          </w:tcPr>
          <w:p w14:paraId="7F2C3212" w14:textId="77777777" w:rsidR="00EB5409" w:rsidRDefault="00EB5409" w:rsidP="00962D12">
            <w:pPr>
              <w:spacing w:line="276" w:lineRule="auto"/>
              <w:rPr>
                <w:rFonts w:ascii="Arial" w:hAnsi="Arial" w:cs="Arial"/>
                <w:color w:val="6C6361"/>
                <w:sz w:val="24"/>
                <w:szCs w:val="24"/>
              </w:rPr>
            </w:pPr>
            <w:r w:rsidRPr="003343A9">
              <w:rPr>
                <w:rFonts w:ascii="Arial" w:hAnsi="Arial" w:cs="Arial"/>
                <w:color w:val="6C6361"/>
                <w:sz w:val="24"/>
                <w:szCs w:val="24"/>
              </w:rPr>
              <w:t>This three-hour seminar will consider what has been hailed as the newest form of standalone action at common law - unjust enrichment.</w:t>
            </w:r>
          </w:p>
          <w:p w14:paraId="5D89DB17" w14:textId="77777777" w:rsidR="00EB5409" w:rsidRPr="003343A9" w:rsidRDefault="00EB5409" w:rsidP="00962D12">
            <w:pPr>
              <w:spacing w:line="276" w:lineRule="auto"/>
              <w:rPr>
                <w:rFonts w:ascii="Arial" w:hAnsi="Arial" w:cs="Arial"/>
                <w:color w:val="6C6361"/>
                <w:sz w:val="12"/>
                <w:szCs w:val="12"/>
              </w:rPr>
            </w:pPr>
          </w:p>
          <w:p w14:paraId="0CA6F99E" w14:textId="77777777" w:rsidR="00EB5409" w:rsidRDefault="00EB5409" w:rsidP="00962D12">
            <w:pPr>
              <w:spacing w:line="276" w:lineRule="auto"/>
              <w:rPr>
                <w:rFonts w:ascii="Arial" w:hAnsi="Arial" w:cs="Arial"/>
                <w:color w:val="6C6361"/>
                <w:sz w:val="24"/>
                <w:szCs w:val="24"/>
              </w:rPr>
            </w:pPr>
            <w:r w:rsidRPr="003343A9">
              <w:rPr>
                <w:rFonts w:ascii="Arial" w:hAnsi="Arial" w:cs="Arial"/>
                <w:color w:val="6C6361"/>
                <w:sz w:val="24"/>
                <w:szCs w:val="24"/>
              </w:rPr>
              <w:t>The seminar will consider the history of the development of unjust enrichment, the only form of action at common law created by academics rather than judges, and its development.</w:t>
            </w:r>
          </w:p>
          <w:p w14:paraId="7CC2EA54" w14:textId="77777777" w:rsidR="00EB5409" w:rsidRPr="003343A9" w:rsidRDefault="00EB5409" w:rsidP="00962D12">
            <w:pPr>
              <w:spacing w:line="276" w:lineRule="auto"/>
              <w:rPr>
                <w:rFonts w:ascii="Arial" w:hAnsi="Arial" w:cs="Arial"/>
                <w:color w:val="6C6361"/>
                <w:sz w:val="12"/>
                <w:szCs w:val="12"/>
              </w:rPr>
            </w:pPr>
          </w:p>
          <w:p w14:paraId="5CA480BD" w14:textId="77777777" w:rsidR="00EB5409" w:rsidRDefault="00EB5409" w:rsidP="00962D12">
            <w:pPr>
              <w:spacing w:line="276" w:lineRule="auto"/>
              <w:rPr>
                <w:rFonts w:ascii="Arial" w:hAnsi="Arial" w:cs="Arial"/>
                <w:color w:val="6C6361"/>
                <w:sz w:val="24"/>
                <w:szCs w:val="24"/>
              </w:rPr>
            </w:pPr>
            <w:r w:rsidRPr="003343A9">
              <w:rPr>
                <w:rFonts w:ascii="Arial" w:hAnsi="Arial" w:cs="Arial"/>
                <w:color w:val="6C6361"/>
                <w:sz w:val="24"/>
                <w:szCs w:val="24"/>
              </w:rPr>
              <w:t>The seminar will consider unjust enrichment’s part in the search for a unified common law of restitution.</w:t>
            </w:r>
          </w:p>
          <w:p w14:paraId="2DEBC5FA" w14:textId="77777777" w:rsidR="00EB5409" w:rsidRPr="003343A9" w:rsidRDefault="00EB5409" w:rsidP="00962D12">
            <w:pPr>
              <w:spacing w:line="276" w:lineRule="auto"/>
              <w:rPr>
                <w:rFonts w:ascii="Arial" w:hAnsi="Arial" w:cs="Arial"/>
                <w:color w:val="6C6361"/>
                <w:sz w:val="12"/>
                <w:szCs w:val="12"/>
              </w:rPr>
            </w:pPr>
          </w:p>
          <w:p w14:paraId="4916D033" w14:textId="77777777" w:rsidR="00EB5409" w:rsidRDefault="00EB5409" w:rsidP="00962D12">
            <w:pPr>
              <w:spacing w:line="276" w:lineRule="auto"/>
              <w:rPr>
                <w:rFonts w:ascii="Arial" w:hAnsi="Arial" w:cs="Arial"/>
                <w:color w:val="6C6361"/>
                <w:sz w:val="24"/>
                <w:szCs w:val="24"/>
              </w:rPr>
            </w:pPr>
            <w:r w:rsidRPr="003343A9">
              <w:rPr>
                <w:rFonts w:ascii="Arial" w:hAnsi="Arial" w:cs="Arial"/>
                <w:color w:val="6C6361"/>
                <w:sz w:val="24"/>
                <w:szCs w:val="24"/>
              </w:rPr>
              <w:t xml:space="preserve">The seminar will then consider the development of unjust enrichment and its </w:t>
            </w:r>
            <w:proofErr w:type="spellStart"/>
            <w:r w:rsidRPr="003343A9">
              <w:rPr>
                <w:rFonts w:ascii="Arial" w:hAnsi="Arial" w:cs="Arial"/>
                <w:color w:val="6C6361"/>
                <w:sz w:val="24"/>
                <w:szCs w:val="24"/>
              </w:rPr>
              <w:t>defence</w:t>
            </w:r>
            <w:proofErr w:type="spellEnd"/>
            <w:r w:rsidRPr="003343A9">
              <w:rPr>
                <w:rFonts w:ascii="Arial" w:hAnsi="Arial" w:cs="Arial"/>
                <w:color w:val="6C6361"/>
                <w:sz w:val="24"/>
                <w:szCs w:val="24"/>
              </w:rPr>
              <w:t>, the change of position, in Hong Kong and England.</w:t>
            </w:r>
          </w:p>
          <w:p w14:paraId="0B3E2034" w14:textId="77777777" w:rsidR="00EB5409" w:rsidRPr="003343A9" w:rsidRDefault="00EB5409" w:rsidP="00962D12">
            <w:pPr>
              <w:spacing w:line="276" w:lineRule="auto"/>
              <w:rPr>
                <w:rFonts w:ascii="Arial" w:hAnsi="Arial" w:cs="Arial"/>
                <w:color w:val="6C6361"/>
                <w:sz w:val="12"/>
                <w:szCs w:val="12"/>
              </w:rPr>
            </w:pPr>
          </w:p>
          <w:p w14:paraId="69661F0A" w14:textId="77777777" w:rsidR="00EB5409" w:rsidRDefault="00EB5409" w:rsidP="00962D12">
            <w:pPr>
              <w:spacing w:line="276" w:lineRule="auto"/>
              <w:rPr>
                <w:rFonts w:ascii="Arial" w:hAnsi="Arial" w:cs="Arial"/>
                <w:color w:val="6C6361"/>
                <w:sz w:val="24"/>
                <w:szCs w:val="24"/>
              </w:rPr>
            </w:pPr>
            <w:r w:rsidRPr="003343A9">
              <w:rPr>
                <w:rFonts w:ascii="Arial" w:hAnsi="Arial" w:cs="Arial"/>
                <w:color w:val="6C6361"/>
                <w:sz w:val="24"/>
                <w:szCs w:val="24"/>
              </w:rPr>
              <w:t>The seminar will consider the links between unjust enrichment and equity and the possible development of the action to deal with more than just money claims.</w:t>
            </w:r>
          </w:p>
          <w:p w14:paraId="0DC1ACA9" w14:textId="77777777" w:rsidR="00EB5409" w:rsidRPr="003343A9" w:rsidRDefault="00EB5409" w:rsidP="00962D12">
            <w:pPr>
              <w:spacing w:line="276" w:lineRule="auto"/>
              <w:rPr>
                <w:rFonts w:ascii="Arial" w:hAnsi="Arial" w:cs="Arial"/>
                <w:color w:val="6C6361"/>
                <w:sz w:val="12"/>
                <w:szCs w:val="12"/>
              </w:rPr>
            </w:pPr>
          </w:p>
          <w:p w14:paraId="5A0983B1" w14:textId="77777777" w:rsidR="00EB5409" w:rsidRPr="003343A9" w:rsidRDefault="00EB5409" w:rsidP="00962D12">
            <w:pPr>
              <w:spacing w:line="276" w:lineRule="auto"/>
              <w:rPr>
                <w:rFonts w:ascii="Arial" w:hAnsi="Arial" w:cs="Arial"/>
                <w:color w:val="6C6361"/>
                <w:sz w:val="24"/>
                <w:szCs w:val="24"/>
              </w:rPr>
            </w:pPr>
            <w:r w:rsidRPr="003343A9">
              <w:rPr>
                <w:rFonts w:ascii="Arial" w:hAnsi="Arial" w:cs="Arial"/>
                <w:color w:val="6C6361"/>
                <w:sz w:val="24"/>
                <w:szCs w:val="24"/>
              </w:rPr>
              <w:t>In conclusion we will consider whether unjust enrichment does exist or whether it is just another name for money had and received, and whether we can humanely dispose of the last vestige of the “cult of restitution.”</w:t>
            </w:r>
          </w:p>
        </w:tc>
      </w:tr>
    </w:tbl>
    <w:p w14:paraId="49527DC3" w14:textId="77777777" w:rsidR="00EB5409" w:rsidRDefault="00EB5409" w:rsidP="00EB5409">
      <w:pPr>
        <w:spacing w:line="276" w:lineRule="auto"/>
        <w:rPr>
          <w:rFonts w:ascii="Arial" w:hAnsi="Arial" w:cs="Arial"/>
          <w:sz w:val="20"/>
          <w:szCs w:val="18"/>
        </w:rPr>
      </w:pPr>
    </w:p>
    <w:p w14:paraId="720920D0" w14:textId="77777777" w:rsidR="00EB5409" w:rsidRDefault="00EB5409" w:rsidP="00EB5409">
      <w:pPr>
        <w:spacing w:line="276" w:lineRule="auto"/>
        <w:rPr>
          <w:rFonts w:ascii="Arial" w:hAnsi="Arial" w:cs="Arial"/>
          <w:sz w:val="20"/>
          <w:szCs w:val="18"/>
        </w:rPr>
      </w:pPr>
    </w:p>
    <w:p w14:paraId="633CC193" w14:textId="77777777" w:rsidR="00EB5409" w:rsidRDefault="00EB5409" w:rsidP="00EB5409">
      <w:pPr>
        <w:spacing w:line="276" w:lineRule="auto"/>
        <w:rPr>
          <w:rFonts w:ascii="Arial" w:hAnsi="Arial" w:cs="Arial"/>
          <w:sz w:val="20"/>
          <w:szCs w:val="18"/>
        </w:rPr>
      </w:pPr>
    </w:p>
    <w:p w14:paraId="2CDB018A" w14:textId="77777777" w:rsidR="00EB5409" w:rsidRDefault="00EB5409" w:rsidP="00EB5409">
      <w:pPr>
        <w:spacing w:line="276" w:lineRule="auto"/>
        <w:rPr>
          <w:rFonts w:ascii="Arial" w:hAnsi="Arial" w:cs="Arial"/>
          <w:sz w:val="20"/>
          <w:szCs w:val="18"/>
        </w:rPr>
      </w:pPr>
    </w:p>
    <w:p w14:paraId="68D6DC81" w14:textId="77777777" w:rsidR="00EB5409" w:rsidRDefault="00EB5409" w:rsidP="00EB5409">
      <w:pPr>
        <w:spacing w:line="276" w:lineRule="auto"/>
        <w:rPr>
          <w:rFonts w:ascii="Arial" w:hAnsi="Arial" w:cs="Arial"/>
          <w:sz w:val="20"/>
          <w:szCs w:val="18"/>
        </w:rPr>
      </w:pPr>
    </w:p>
    <w:p w14:paraId="15D624BF" w14:textId="77777777" w:rsidR="00EB5409" w:rsidRDefault="00EB5409" w:rsidP="00EB5409">
      <w:pPr>
        <w:spacing w:line="276" w:lineRule="auto"/>
        <w:rPr>
          <w:rFonts w:ascii="Arial" w:hAnsi="Arial" w:cs="Arial"/>
          <w:sz w:val="20"/>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EB5409" w:rsidRPr="003343A9" w14:paraId="35CDD58D" w14:textId="77777777" w:rsidTr="00962D12">
        <w:trPr>
          <w:trHeight w:val="397"/>
          <w:jc w:val="center"/>
        </w:trPr>
        <w:tc>
          <w:tcPr>
            <w:tcW w:w="10773" w:type="dxa"/>
            <w:tcBorders>
              <w:top w:val="nil"/>
              <w:bottom w:val="nil"/>
            </w:tcBorders>
            <w:shd w:val="clear" w:color="auto" w:fill="F0EBE1"/>
            <w:vAlign w:val="center"/>
          </w:tcPr>
          <w:p w14:paraId="534C6BBB" w14:textId="77777777" w:rsidR="00EB5409" w:rsidRPr="003343A9" w:rsidRDefault="00EB5409" w:rsidP="00962D12">
            <w:pPr>
              <w:spacing w:line="276" w:lineRule="auto"/>
              <w:jc w:val="left"/>
              <w:rPr>
                <w:rFonts w:ascii="Arial" w:hAnsi="Arial" w:cs="Arial"/>
                <w:b/>
                <w:color w:val="524B48"/>
                <w:sz w:val="24"/>
                <w:szCs w:val="24"/>
              </w:rPr>
            </w:pPr>
            <w:r w:rsidRPr="003343A9">
              <w:rPr>
                <w:rFonts w:ascii="Arial" w:hAnsi="Arial" w:cs="Arial"/>
                <w:b/>
                <w:color w:val="524B48"/>
                <w:sz w:val="24"/>
                <w:szCs w:val="24"/>
              </w:rPr>
              <w:lastRenderedPageBreak/>
              <w:t>Some of the topics considered in this seminar include:</w:t>
            </w:r>
          </w:p>
        </w:tc>
      </w:tr>
      <w:tr w:rsidR="00EB5409" w:rsidRPr="003343A9" w14:paraId="45F7C413" w14:textId="77777777" w:rsidTr="00962D12">
        <w:trPr>
          <w:trHeight w:val="3988"/>
          <w:jc w:val="center"/>
        </w:trPr>
        <w:tc>
          <w:tcPr>
            <w:tcW w:w="10773" w:type="dxa"/>
            <w:tcBorders>
              <w:top w:val="nil"/>
              <w:bottom w:val="nil"/>
            </w:tcBorders>
            <w:shd w:val="clear" w:color="auto" w:fill="FFFFFF" w:themeFill="background1"/>
            <w:vAlign w:val="center"/>
          </w:tcPr>
          <w:p w14:paraId="34865C4A" w14:textId="77777777" w:rsidR="00EB5409" w:rsidRPr="003343A9" w:rsidRDefault="00EB5409" w:rsidP="00962D12">
            <w:pPr>
              <w:pStyle w:val="ListParagraph"/>
              <w:numPr>
                <w:ilvl w:val="0"/>
                <w:numId w:val="2"/>
              </w:numPr>
              <w:spacing w:line="276" w:lineRule="auto"/>
              <w:jc w:val="left"/>
              <w:rPr>
                <w:rFonts w:ascii="Arial" w:hAnsi="Arial" w:cs="Arial"/>
                <w:color w:val="6C6361"/>
                <w:sz w:val="24"/>
                <w:szCs w:val="24"/>
              </w:rPr>
            </w:pPr>
            <w:r w:rsidRPr="003343A9">
              <w:rPr>
                <w:rFonts w:ascii="Arial" w:hAnsi="Arial" w:cs="Arial"/>
                <w:color w:val="6C6361"/>
                <w:sz w:val="24"/>
                <w:szCs w:val="24"/>
              </w:rPr>
              <w:t>What is unjust enrichment?</w:t>
            </w:r>
          </w:p>
          <w:p w14:paraId="218F4319" w14:textId="77777777" w:rsidR="00EB5409" w:rsidRPr="003343A9" w:rsidRDefault="00EB5409" w:rsidP="00962D12">
            <w:pPr>
              <w:pStyle w:val="ListParagraph"/>
              <w:numPr>
                <w:ilvl w:val="0"/>
                <w:numId w:val="2"/>
              </w:numPr>
              <w:spacing w:line="276" w:lineRule="auto"/>
              <w:jc w:val="left"/>
              <w:rPr>
                <w:rFonts w:ascii="Arial" w:hAnsi="Arial" w:cs="Arial"/>
                <w:color w:val="6C6361"/>
                <w:sz w:val="24"/>
                <w:szCs w:val="24"/>
              </w:rPr>
            </w:pPr>
            <w:r w:rsidRPr="003343A9">
              <w:rPr>
                <w:rFonts w:ascii="Arial" w:hAnsi="Arial" w:cs="Arial"/>
                <w:color w:val="6C6361"/>
                <w:sz w:val="24"/>
                <w:szCs w:val="24"/>
              </w:rPr>
              <w:t>Where did it come from?</w:t>
            </w:r>
          </w:p>
          <w:p w14:paraId="100DE31D" w14:textId="77777777" w:rsidR="00EB5409" w:rsidRPr="003343A9" w:rsidRDefault="00EB5409" w:rsidP="00962D12">
            <w:pPr>
              <w:pStyle w:val="ListParagraph"/>
              <w:numPr>
                <w:ilvl w:val="0"/>
                <w:numId w:val="2"/>
              </w:numPr>
              <w:spacing w:line="276" w:lineRule="auto"/>
              <w:jc w:val="left"/>
              <w:rPr>
                <w:rFonts w:ascii="Arial" w:hAnsi="Arial" w:cs="Arial"/>
                <w:color w:val="6C6361"/>
                <w:sz w:val="24"/>
                <w:szCs w:val="24"/>
              </w:rPr>
            </w:pPr>
            <w:r w:rsidRPr="003343A9">
              <w:rPr>
                <w:rFonts w:ascii="Arial" w:hAnsi="Arial" w:cs="Arial"/>
                <w:color w:val="6C6361"/>
                <w:sz w:val="24"/>
                <w:szCs w:val="24"/>
              </w:rPr>
              <w:t>A brief history of unjust enrichment;</w:t>
            </w:r>
          </w:p>
          <w:p w14:paraId="7FCE7884" w14:textId="77777777" w:rsidR="00EB5409" w:rsidRPr="003343A9" w:rsidRDefault="00EB5409" w:rsidP="00962D12">
            <w:pPr>
              <w:pStyle w:val="ListParagraph"/>
              <w:numPr>
                <w:ilvl w:val="0"/>
                <w:numId w:val="2"/>
              </w:numPr>
              <w:spacing w:line="276" w:lineRule="auto"/>
              <w:jc w:val="left"/>
              <w:rPr>
                <w:rFonts w:ascii="Arial" w:hAnsi="Arial" w:cs="Arial"/>
                <w:color w:val="6C6361"/>
                <w:sz w:val="24"/>
                <w:szCs w:val="24"/>
              </w:rPr>
            </w:pPr>
            <w:r w:rsidRPr="003343A9">
              <w:rPr>
                <w:rFonts w:ascii="Arial" w:hAnsi="Arial" w:cs="Arial"/>
                <w:color w:val="6C6361"/>
                <w:sz w:val="24"/>
                <w:szCs w:val="24"/>
              </w:rPr>
              <w:t>The common money counts;</w:t>
            </w:r>
          </w:p>
          <w:p w14:paraId="2EF26DDE" w14:textId="77777777" w:rsidR="00EB5409" w:rsidRPr="003343A9" w:rsidRDefault="00EB5409" w:rsidP="00962D12">
            <w:pPr>
              <w:pStyle w:val="ListParagraph"/>
              <w:numPr>
                <w:ilvl w:val="0"/>
                <w:numId w:val="2"/>
              </w:numPr>
              <w:spacing w:line="276" w:lineRule="auto"/>
              <w:ind w:right="-250"/>
              <w:jc w:val="left"/>
              <w:rPr>
                <w:rFonts w:ascii="Arial" w:hAnsi="Arial" w:cs="Arial"/>
                <w:color w:val="6C6361"/>
                <w:sz w:val="24"/>
                <w:szCs w:val="24"/>
              </w:rPr>
            </w:pPr>
            <w:r w:rsidRPr="003343A9">
              <w:rPr>
                <w:rFonts w:ascii="Arial" w:hAnsi="Arial" w:cs="Arial"/>
                <w:color w:val="6C6361"/>
                <w:sz w:val="24"/>
                <w:szCs w:val="24"/>
              </w:rPr>
              <w:t>Mansfield’s fallacy and the “Glorious uncertainty of the law”</w:t>
            </w:r>
          </w:p>
          <w:p w14:paraId="256DB8B0" w14:textId="77777777" w:rsidR="00EB5409" w:rsidRPr="003343A9" w:rsidRDefault="00EB5409" w:rsidP="00962D12">
            <w:pPr>
              <w:pStyle w:val="ListParagraph"/>
              <w:numPr>
                <w:ilvl w:val="0"/>
                <w:numId w:val="2"/>
              </w:numPr>
              <w:spacing w:line="276" w:lineRule="auto"/>
              <w:jc w:val="left"/>
              <w:rPr>
                <w:rFonts w:ascii="Arial" w:hAnsi="Arial" w:cs="Arial"/>
                <w:color w:val="6C6361"/>
                <w:sz w:val="24"/>
                <w:szCs w:val="24"/>
              </w:rPr>
            </w:pPr>
            <w:r w:rsidRPr="003343A9">
              <w:rPr>
                <w:rFonts w:ascii="Arial" w:hAnsi="Arial" w:cs="Arial"/>
                <w:color w:val="6C6361"/>
                <w:sz w:val="24"/>
                <w:szCs w:val="24"/>
              </w:rPr>
              <w:t>Lord Goff’s academic pursuit of a law of restitution;</w:t>
            </w:r>
          </w:p>
          <w:p w14:paraId="7D530602" w14:textId="77777777" w:rsidR="00EB5409" w:rsidRPr="003343A9" w:rsidRDefault="00EB5409" w:rsidP="00962D12">
            <w:pPr>
              <w:pStyle w:val="ListParagraph"/>
              <w:numPr>
                <w:ilvl w:val="0"/>
                <w:numId w:val="2"/>
              </w:numPr>
              <w:spacing w:line="276" w:lineRule="auto"/>
              <w:jc w:val="left"/>
              <w:rPr>
                <w:rFonts w:ascii="Arial" w:hAnsi="Arial" w:cs="Arial"/>
                <w:color w:val="6C6361"/>
                <w:sz w:val="24"/>
                <w:szCs w:val="24"/>
              </w:rPr>
            </w:pPr>
            <w:r w:rsidRPr="003343A9">
              <w:rPr>
                <w:noProof/>
              </w:rPr>
              <w:drawing>
                <wp:anchor distT="0" distB="0" distL="114300" distR="114300" simplePos="0" relativeHeight="251660288" behindDoc="1" locked="0" layoutInCell="1" allowOverlap="1" wp14:anchorId="5DCD5655" wp14:editId="2975E14F">
                  <wp:simplePos x="0" y="0"/>
                  <wp:positionH relativeFrom="column">
                    <wp:posOffset>5750560</wp:posOffset>
                  </wp:positionH>
                  <wp:positionV relativeFrom="paragraph">
                    <wp:posOffset>103505</wp:posOffset>
                  </wp:positionV>
                  <wp:extent cx="890905" cy="1019810"/>
                  <wp:effectExtent l="0" t="0" r="0" b="0"/>
                  <wp:wrapTight wrapText="bothSides">
                    <wp:wrapPolygon edited="0">
                      <wp:start x="0" y="0"/>
                      <wp:lineTo x="0" y="21250"/>
                      <wp:lineTo x="21246" y="21250"/>
                      <wp:lineTo x="21246" y="269"/>
                      <wp:lineTo x="193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0905"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3A9">
              <w:rPr>
                <w:rFonts w:ascii="Arial" w:hAnsi="Arial" w:cs="Arial"/>
                <w:color w:val="6C6361"/>
                <w:sz w:val="24"/>
                <w:szCs w:val="24"/>
              </w:rPr>
              <w:t>Gambling solicitors and a firm’s lost funds;</w:t>
            </w:r>
          </w:p>
          <w:p w14:paraId="751A8544" w14:textId="77777777" w:rsidR="00EB5409" w:rsidRDefault="00EB5409" w:rsidP="00962D12">
            <w:pPr>
              <w:pStyle w:val="ListParagraph"/>
              <w:numPr>
                <w:ilvl w:val="0"/>
                <w:numId w:val="2"/>
              </w:numPr>
              <w:spacing w:line="276" w:lineRule="auto"/>
              <w:jc w:val="left"/>
              <w:rPr>
                <w:rFonts w:ascii="Arial" w:hAnsi="Arial" w:cs="Arial"/>
                <w:color w:val="6C6361"/>
                <w:sz w:val="24"/>
                <w:szCs w:val="24"/>
              </w:rPr>
            </w:pPr>
            <w:r w:rsidRPr="003343A9">
              <w:rPr>
                <w:rFonts w:ascii="Arial" w:hAnsi="Arial" w:cs="Arial"/>
                <w:color w:val="6C6361"/>
                <w:sz w:val="24"/>
                <w:szCs w:val="24"/>
              </w:rPr>
              <w:t xml:space="preserve">Unjust enrichment and the change of position </w:t>
            </w:r>
            <w:proofErr w:type="spellStart"/>
            <w:r w:rsidRPr="003343A9">
              <w:rPr>
                <w:rFonts w:ascii="Arial" w:hAnsi="Arial" w:cs="Arial"/>
                <w:color w:val="6C6361"/>
                <w:sz w:val="24"/>
                <w:szCs w:val="24"/>
              </w:rPr>
              <w:t>defence</w:t>
            </w:r>
            <w:proofErr w:type="spellEnd"/>
            <w:r w:rsidRPr="003343A9">
              <w:rPr>
                <w:rFonts w:ascii="Arial" w:hAnsi="Arial" w:cs="Arial"/>
                <w:color w:val="6C6361"/>
                <w:sz w:val="24"/>
                <w:szCs w:val="24"/>
              </w:rPr>
              <w:t>;</w:t>
            </w:r>
          </w:p>
          <w:p w14:paraId="15777C5D" w14:textId="77777777" w:rsidR="00EB5409" w:rsidRPr="003343A9" w:rsidRDefault="00EB5409" w:rsidP="00962D12">
            <w:pPr>
              <w:pStyle w:val="ListParagraph"/>
              <w:numPr>
                <w:ilvl w:val="0"/>
                <w:numId w:val="2"/>
              </w:numPr>
              <w:spacing w:line="276" w:lineRule="auto"/>
              <w:jc w:val="left"/>
              <w:rPr>
                <w:rFonts w:ascii="Arial" w:hAnsi="Arial" w:cs="Arial"/>
                <w:color w:val="6C6361"/>
                <w:sz w:val="24"/>
                <w:szCs w:val="24"/>
              </w:rPr>
            </w:pPr>
            <w:r w:rsidRPr="003343A9">
              <w:rPr>
                <w:rFonts w:ascii="Arial" w:hAnsi="Arial" w:cs="Arial"/>
                <w:color w:val="6C6361"/>
                <w:sz w:val="24"/>
                <w:szCs w:val="24"/>
              </w:rPr>
              <w:t>The modern action for unjust enrichment in Hong Kong;</w:t>
            </w:r>
          </w:p>
          <w:p w14:paraId="23EABC9A" w14:textId="77777777" w:rsidR="00EB5409" w:rsidRPr="003343A9" w:rsidRDefault="00EB5409" w:rsidP="00962D12">
            <w:pPr>
              <w:pStyle w:val="ListParagraph"/>
              <w:numPr>
                <w:ilvl w:val="0"/>
                <w:numId w:val="2"/>
              </w:numPr>
              <w:spacing w:line="276" w:lineRule="auto"/>
              <w:jc w:val="left"/>
              <w:rPr>
                <w:rFonts w:ascii="Arial" w:hAnsi="Arial" w:cs="Arial"/>
                <w:color w:val="6C6361"/>
                <w:sz w:val="24"/>
                <w:szCs w:val="24"/>
              </w:rPr>
            </w:pPr>
            <w:r w:rsidRPr="003343A9">
              <w:rPr>
                <w:rFonts w:ascii="Arial" w:hAnsi="Arial" w:cs="Arial"/>
                <w:color w:val="6C6361"/>
                <w:sz w:val="24"/>
                <w:szCs w:val="24"/>
              </w:rPr>
              <w:t>The limits of actions for unjust enrichment;</w:t>
            </w:r>
          </w:p>
          <w:p w14:paraId="7F5217FD" w14:textId="77777777" w:rsidR="00EB5409" w:rsidRPr="003343A9" w:rsidRDefault="00EB5409" w:rsidP="00962D12">
            <w:pPr>
              <w:pStyle w:val="ListParagraph"/>
              <w:numPr>
                <w:ilvl w:val="0"/>
                <w:numId w:val="2"/>
              </w:numPr>
              <w:spacing w:line="276" w:lineRule="auto"/>
              <w:jc w:val="left"/>
              <w:rPr>
                <w:rFonts w:ascii="Arial" w:hAnsi="Arial" w:cs="Arial"/>
                <w:color w:val="6C6361"/>
                <w:sz w:val="24"/>
                <w:szCs w:val="24"/>
              </w:rPr>
            </w:pPr>
            <w:r w:rsidRPr="003343A9">
              <w:rPr>
                <w:rFonts w:ascii="Arial" w:hAnsi="Arial" w:cs="Arial"/>
                <w:color w:val="6C6361"/>
                <w:sz w:val="24"/>
                <w:szCs w:val="24"/>
              </w:rPr>
              <w:t>Arguments for tracing more than money;</w:t>
            </w:r>
          </w:p>
          <w:p w14:paraId="0B6F4005" w14:textId="77777777" w:rsidR="00EB5409" w:rsidRPr="00507FCF" w:rsidRDefault="00EB5409" w:rsidP="00962D12">
            <w:pPr>
              <w:pStyle w:val="ListParagraph"/>
              <w:numPr>
                <w:ilvl w:val="0"/>
                <w:numId w:val="2"/>
              </w:numPr>
              <w:spacing w:line="276" w:lineRule="auto"/>
              <w:jc w:val="left"/>
              <w:rPr>
                <w:rFonts w:ascii="Arial" w:hAnsi="Arial" w:cs="Arial"/>
                <w:color w:val="6C6361"/>
                <w:sz w:val="24"/>
                <w:szCs w:val="24"/>
              </w:rPr>
            </w:pPr>
            <w:r w:rsidRPr="003343A9">
              <w:rPr>
                <w:rFonts w:ascii="Arial" w:hAnsi="Arial" w:cs="Arial"/>
                <w:color w:val="6C6361"/>
                <w:sz w:val="24"/>
                <w:szCs w:val="24"/>
              </w:rPr>
              <w:t>Could we live without unjust enrichment?</w:t>
            </w:r>
          </w:p>
        </w:tc>
      </w:tr>
    </w:tbl>
    <w:p w14:paraId="46F15CDE" w14:textId="77777777" w:rsidR="00EB5409" w:rsidRPr="00EB5409" w:rsidRDefault="00EB5409" w:rsidP="00680C81">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0"/>
        <w:gridCol w:w="3686"/>
        <w:gridCol w:w="1701"/>
        <w:gridCol w:w="2370"/>
        <w:gridCol w:w="1315"/>
      </w:tblGrid>
      <w:tr w:rsidR="00EB5409" w:rsidRPr="00320F79" w14:paraId="04B38319" w14:textId="77777777" w:rsidTr="00EB5409">
        <w:trPr>
          <w:trHeight w:val="284"/>
          <w:jc w:val="center"/>
        </w:trPr>
        <w:tc>
          <w:tcPr>
            <w:tcW w:w="1700" w:type="dxa"/>
            <w:tcBorders>
              <w:top w:val="nil"/>
              <w:left w:val="nil"/>
              <w:bottom w:val="single" w:sz="12" w:space="0" w:color="FFFFFF"/>
            </w:tcBorders>
            <w:shd w:val="clear" w:color="auto" w:fill="F0EBE1"/>
            <w:vAlign w:val="center"/>
          </w:tcPr>
          <w:p w14:paraId="7274353E" w14:textId="35D0FE6B" w:rsidR="00EB5409" w:rsidRPr="00320F79" w:rsidRDefault="00EB5409" w:rsidP="00EB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6" w:type="dxa"/>
            <w:tcBorders>
              <w:top w:val="nil"/>
              <w:bottom w:val="single" w:sz="12" w:space="0" w:color="F0EBE1"/>
            </w:tcBorders>
            <w:shd w:val="clear" w:color="auto" w:fill="FFFFFF"/>
            <w:vAlign w:val="center"/>
          </w:tcPr>
          <w:p w14:paraId="6F2B86EE" w14:textId="4CC1406F" w:rsidR="00EB5409" w:rsidRPr="00320F79" w:rsidRDefault="00EB5409" w:rsidP="00EB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EVT000000391</w:t>
            </w:r>
          </w:p>
        </w:tc>
        <w:tc>
          <w:tcPr>
            <w:tcW w:w="1701" w:type="dxa"/>
            <w:tcBorders>
              <w:top w:val="nil"/>
              <w:bottom w:val="single" w:sz="12" w:space="0" w:color="FFFFFF"/>
            </w:tcBorders>
            <w:shd w:val="clear" w:color="auto" w:fill="F0EBE1"/>
            <w:vAlign w:val="center"/>
          </w:tcPr>
          <w:p w14:paraId="73E43897" w14:textId="0831A625" w:rsidR="00EB5409" w:rsidRPr="00320F79" w:rsidRDefault="00EB5409" w:rsidP="00EB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155BFADC" w14:textId="1714FEF8" w:rsidR="00EB5409" w:rsidRPr="00320F79" w:rsidRDefault="00EB5409" w:rsidP="00EB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EB5409" w:rsidRPr="00320F79" w14:paraId="15943B38" w14:textId="77777777" w:rsidTr="00EB5409">
        <w:trPr>
          <w:trHeight w:val="284"/>
          <w:jc w:val="center"/>
        </w:trPr>
        <w:tc>
          <w:tcPr>
            <w:tcW w:w="1700" w:type="dxa"/>
            <w:tcBorders>
              <w:top w:val="single" w:sz="12" w:space="0" w:color="FFFFFF"/>
              <w:left w:val="nil"/>
              <w:bottom w:val="single" w:sz="12" w:space="0" w:color="FFFFFF"/>
            </w:tcBorders>
            <w:shd w:val="clear" w:color="auto" w:fill="F0EBE1"/>
            <w:vAlign w:val="center"/>
          </w:tcPr>
          <w:p w14:paraId="75B8F9E5" w14:textId="03B92D98" w:rsidR="00EB5409" w:rsidRPr="00320F79" w:rsidRDefault="00EB5409" w:rsidP="00EB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6" w:type="dxa"/>
            <w:tcBorders>
              <w:top w:val="single" w:sz="12" w:space="0" w:color="F0EBE1"/>
              <w:bottom w:val="single" w:sz="12" w:space="0" w:color="F0EBE1"/>
            </w:tcBorders>
            <w:shd w:val="clear" w:color="auto" w:fill="FFFFFF"/>
            <w:vAlign w:val="center"/>
          </w:tcPr>
          <w:p w14:paraId="71FA975E" w14:textId="77777777" w:rsidR="00EB5409" w:rsidRDefault="00EB5409" w:rsidP="00EB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3 October 2023 (Tuesday)</w:t>
            </w:r>
          </w:p>
          <w:p w14:paraId="5457BFA6" w14:textId="358DD9F9" w:rsidR="00EB5409" w:rsidRPr="00320F79" w:rsidRDefault="00EB5409" w:rsidP="00EB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14:paraId="45602E14" w14:textId="1BCE5086" w:rsidR="00EB5409" w:rsidRPr="00320F79" w:rsidRDefault="00EB5409" w:rsidP="00EB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5D488E3" w14:textId="2CD76441" w:rsidR="00EB5409" w:rsidRPr="00320F79" w:rsidRDefault="00EB5409" w:rsidP="00EB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EB5409" w:rsidRPr="00320F79" w14:paraId="3886E919" w14:textId="77777777" w:rsidTr="00EB5409">
        <w:trPr>
          <w:trHeight w:val="284"/>
          <w:jc w:val="center"/>
        </w:trPr>
        <w:tc>
          <w:tcPr>
            <w:tcW w:w="1700" w:type="dxa"/>
            <w:tcBorders>
              <w:top w:val="single" w:sz="12" w:space="0" w:color="FFFFFF"/>
              <w:left w:val="nil"/>
              <w:bottom w:val="single" w:sz="12" w:space="0" w:color="FFFFFF"/>
            </w:tcBorders>
            <w:shd w:val="clear" w:color="auto" w:fill="F0EBE1"/>
            <w:vAlign w:val="center"/>
          </w:tcPr>
          <w:p w14:paraId="72B08325" w14:textId="1DA6CCC1" w:rsidR="00EB5409" w:rsidRPr="00320F79" w:rsidRDefault="00EB5409" w:rsidP="00EB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6" w:type="dxa"/>
            <w:tcBorders>
              <w:top w:val="single" w:sz="12" w:space="0" w:color="F0EBE1"/>
              <w:bottom w:val="single" w:sz="12" w:space="0" w:color="F0EBE1"/>
            </w:tcBorders>
            <w:shd w:val="clear" w:color="auto" w:fill="FFFFFF"/>
            <w:vAlign w:val="center"/>
          </w:tcPr>
          <w:p w14:paraId="48151A07" w14:textId="77777777" w:rsidR="00EB5409" w:rsidRPr="00320F79" w:rsidRDefault="00EB5409" w:rsidP="00EB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14:paraId="4B2B2D30" w14:textId="6C944F17" w:rsidR="00EB5409" w:rsidRPr="00320F79" w:rsidRDefault="00EB5409" w:rsidP="00EB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527173B6" w14:textId="0C910188" w:rsidR="00EB5409" w:rsidRPr="00320F79" w:rsidRDefault="00EB5409" w:rsidP="00EB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6570EED2" w14:textId="08E466BC" w:rsidR="00EB5409" w:rsidRPr="00E843DA" w:rsidRDefault="00EB5409" w:rsidP="00EB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LSHK</w:t>
            </w:r>
            <w:r>
              <w:rPr>
                <w:rFonts w:ascii="Arial" w:hAnsi="Arial" w:cs="Arial"/>
                <w:b/>
                <w:color w:val="6C6361"/>
                <w:sz w:val="20"/>
                <w:szCs w:val="20"/>
              </w:rPr>
              <w:t xml:space="preserve"> 3.0</w:t>
            </w:r>
            <w:r w:rsidRPr="00320F79">
              <w:rPr>
                <w:rFonts w:ascii="Arial" w:hAnsi="Arial" w:cs="Arial"/>
                <w:b/>
                <w:color w:val="6C6361"/>
                <w:sz w:val="20"/>
                <w:szCs w:val="20"/>
              </w:rPr>
              <w:t xml:space="preserve"> CPD Points</w:t>
            </w:r>
          </w:p>
        </w:tc>
      </w:tr>
      <w:tr w:rsidR="00EB5409" w:rsidRPr="00320F79" w14:paraId="25CE703A" w14:textId="77777777" w:rsidTr="00EB5409">
        <w:trPr>
          <w:trHeight w:val="1303"/>
          <w:jc w:val="center"/>
        </w:trPr>
        <w:tc>
          <w:tcPr>
            <w:tcW w:w="1700" w:type="dxa"/>
            <w:tcBorders>
              <w:top w:val="single" w:sz="12" w:space="0" w:color="FFFFFF"/>
              <w:left w:val="nil"/>
              <w:bottom w:val="nil"/>
            </w:tcBorders>
            <w:shd w:val="clear" w:color="auto" w:fill="F0EBE1"/>
            <w:vAlign w:val="center"/>
          </w:tcPr>
          <w:p w14:paraId="2AA932C2" w14:textId="4F30AE2E" w:rsidR="00EB5409" w:rsidRPr="00320F79" w:rsidRDefault="00EB5409"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3686" w:type="dxa"/>
            <w:tcBorders>
              <w:top w:val="single" w:sz="12" w:space="0" w:color="F0EBE1"/>
              <w:bottom w:val="nil"/>
            </w:tcBorders>
            <w:shd w:val="clear" w:color="auto" w:fill="FFFFFF"/>
            <w:vAlign w:val="center"/>
          </w:tcPr>
          <w:p w14:paraId="7FE538F2" w14:textId="04F8295E" w:rsidR="00EB5409" w:rsidRPr="004A2263" w:rsidRDefault="00EB5409" w:rsidP="00546F8F">
            <w:pPr>
              <w:jc w:val="left"/>
              <w:rPr>
                <w:rFonts w:ascii="Arial" w:hAnsi="Arial" w:cs="Arial"/>
                <w:b/>
                <w:color w:val="6C6361"/>
                <w:sz w:val="20"/>
                <w:szCs w:val="20"/>
              </w:rPr>
            </w:pP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p>
        </w:tc>
        <w:tc>
          <w:tcPr>
            <w:tcW w:w="1701" w:type="dxa"/>
            <w:tcBorders>
              <w:top w:val="single" w:sz="12" w:space="0" w:color="FFFFFF"/>
              <w:bottom w:val="nil"/>
            </w:tcBorders>
            <w:shd w:val="clear" w:color="auto" w:fill="F0EBE1"/>
            <w:vAlign w:val="center"/>
          </w:tcPr>
          <w:p w14:paraId="6785C576" w14:textId="4BF48D80" w:rsidR="00EB5409" w:rsidRPr="003A2A41" w:rsidRDefault="00EB5409"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1F52300" w14:textId="77777777" w:rsidR="00EB5409" w:rsidRPr="003A2A41" w:rsidRDefault="00EB5409"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14:paraId="044C7665" w14:textId="77777777" w:rsidR="00EB5409" w:rsidRPr="003A2A41" w:rsidRDefault="00EB5409"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14:paraId="0466A76F" w14:textId="77777777" w:rsidR="00EB5409" w:rsidRPr="003A2A41" w:rsidRDefault="00EB5409"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14:paraId="7131FD47" w14:textId="77777777" w:rsidR="00EB5409" w:rsidRPr="00156567" w:rsidRDefault="00EB5409"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B949021" wp14:editId="6D6A2FC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B4160B" w14:textId="77777777" w:rsidR="00214BC6" w:rsidRPr="00680C81" w:rsidRDefault="00214BC6" w:rsidP="00680C81">
      <w:pPr>
        <w:rPr>
          <w:sz w:val="2"/>
          <w:szCs w:val="2"/>
        </w:rPr>
      </w:pPr>
    </w:p>
    <w:sectPr w:rsidR="00214BC6" w:rsidRPr="00680C81"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44235" w14:textId="77777777" w:rsidR="002550F6" w:rsidRDefault="002550F6" w:rsidP="00546556">
      <w:r>
        <w:separator/>
      </w:r>
    </w:p>
  </w:endnote>
  <w:endnote w:type="continuationSeparator" w:id="0">
    <w:p w14:paraId="605E43DE" w14:textId="77777777" w:rsidR="002550F6" w:rsidRDefault="002550F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9D25"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01D3DDF2" w14:textId="77777777" w:rsidTr="00A775CE">
      <w:trPr>
        <w:trHeight w:val="1824"/>
        <w:jc w:val="center"/>
      </w:trPr>
      <w:tc>
        <w:tcPr>
          <w:tcW w:w="5954" w:type="dxa"/>
          <w:vAlign w:val="bottom"/>
        </w:tcPr>
        <w:p w14:paraId="67AF7CF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26823E35" wp14:editId="6D9944A7">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259F87B" w14:textId="77777777" w:rsidR="00197F64" w:rsidRPr="00EA2D57" w:rsidRDefault="00197F64" w:rsidP="00197F64">
          <w:pPr>
            <w:ind w:right="33"/>
            <w:jc w:val="center"/>
            <w:rPr>
              <w:rFonts w:ascii="Arial" w:hAnsi="Arial" w:cs="Arial"/>
              <w:color w:val="E4DCCA"/>
              <w:sz w:val="16"/>
              <w:szCs w:val="16"/>
            </w:rPr>
          </w:pPr>
        </w:p>
        <w:p w14:paraId="609E5DF9"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6880AC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C1133CE"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AFD2752"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BEBACDC" wp14:editId="0B5346DF">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CDA6B8D"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25CD63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5E93D01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7A27B03"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5F56039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37F64197"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EE996" w14:textId="77777777" w:rsidR="002550F6" w:rsidRDefault="002550F6" w:rsidP="00546556">
      <w:r>
        <w:separator/>
      </w:r>
    </w:p>
  </w:footnote>
  <w:footnote w:type="continuationSeparator" w:id="0">
    <w:p w14:paraId="04F7C234" w14:textId="77777777" w:rsidR="002550F6" w:rsidRDefault="002550F6"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41BA" w14:textId="77777777" w:rsidR="002C4DC0" w:rsidRDefault="00F0384F">
    <w:pPr>
      <w:pStyle w:val="Header"/>
    </w:pPr>
    <w:r>
      <w:rPr>
        <w:noProof/>
      </w:rPr>
      <w:drawing>
        <wp:anchor distT="0" distB="0" distL="114300" distR="114300" simplePos="0" relativeHeight="251659264" behindDoc="1" locked="0" layoutInCell="1" allowOverlap="1" wp14:anchorId="4AEE1918" wp14:editId="2B458EC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PEysQxVpruFxGEqON4O1u4Hj896/tLQs2Q2h7wJXdWDPZaXHQt/wbhLjlJ08DTxKTc+nOnXiG7GB/pI5a0aeuA==" w:salt="7XOIjLoY/DMnbbzmicS4y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1526"/>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0F6"/>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263"/>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46F8F"/>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3764"/>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57C82"/>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3B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5409"/>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48409"/>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546F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91/"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18DBC-5852-47D0-8CD6-E61BFD97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Unjust Enrichment: Does it Exist and if So, What is it, Where is it Going and Can We Humanely Dispose of it?</vt:lpstr>
    </vt:vector>
  </TitlesOfParts>
  <Manager>Tyrone Tsang</Manager>
  <Company>The Profectional Company Limited</Company>
  <LinksUpToDate>false</LinksUpToDate>
  <CharactersWithSpaces>2692</CharactersWithSpaces>
  <SharedDoc>false</SharedDoc>
  <HyperlinkBase>http://download.profectional.com/events/EVT000000391.docx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Unjust Enrichment: Does it Exist and if So, What is it, Where is it Going and Can We Humanely Dispose of it?</dc:title>
  <dc:subject>CPD Course: Unjust Enrichment: Does it Exist and if So, What is it, Where is it Going and Can We Humanely Dispose of it?</dc:subject>
  <dc:creator>The Profectional Company Limited</dc:creator>
  <cp:keywords>Profectional; Kornerstone; CPD; CPT; CLE; CE; RME; Steven Gallagher; Professor of Practice in Law; Associate Dean (Academic &amp; Student Affairs);The Faculty of Law; The Chinese University of Hong Kong</cp:keywords>
  <dc:description/>
  <cp:lastModifiedBy>Tyrone Tsang</cp:lastModifiedBy>
  <cp:revision>57</cp:revision>
  <cp:lastPrinted>2023-10-02T10:13:00Z</cp:lastPrinted>
  <dcterms:created xsi:type="dcterms:W3CDTF">2017-01-12T02:41:00Z</dcterms:created>
  <dcterms:modified xsi:type="dcterms:W3CDTF">2023-10-02T10:13:00Z</dcterms:modified>
  <cp:category/>
</cp:coreProperties>
</file>