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765BA" w14:textId="77777777" w:rsidR="00153286" w:rsidRPr="00153286" w:rsidRDefault="00153286" w:rsidP="00153286">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153286" w:rsidRPr="00523A64" w14:paraId="52A8056B" w14:textId="77777777" w:rsidTr="009F291B">
        <w:trPr>
          <w:trHeight w:val="3119"/>
          <w:jc w:val="center"/>
        </w:trPr>
        <w:tc>
          <w:tcPr>
            <w:tcW w:w="4820" w:type="dxa"/>
            <w:shd w:val="clear" w:color="auto" w:fill="FFFFFF"/>
            <w:vAlign w:val="center"/>
          </w:tcPr>
          <w:p w14:paraId="4F76538E" w14:textId="77777777" w:rsidR="00153286" w:rsidRPr="008259A9" w:rsidRDefault="00153286" w:rsidP="009F291B">
            <w:pPr>
              <w:jc w:val="center"/>
              <w:rPr>
                <w:rFonts w:ascii="Arial" w:hAnsi="Arial" w:cs="Arial"/>
                <w:b/>
                <w:bCs/>
                <w:color w:val="524B48"/>
                <w:sz w:val="4"/>
                <w:szCs w:val="4"/>
              </w:rPr>
            </w:pPr>
          </w:p>
          <w:p w14:paraId="09705744" w14:textId="77777777" w:rsidR="00153286" w:rsidRDefault="00153286" w:rsidP="009F291B">
            <w:pPr>
              <w:jc w:val="center"/>
              <w:rPr>
                <w:rStyle w:val="Hyperlink"/>
                <w:rFonts w:ascii="Arial" w:hAnsi="Arial" w:cs="Arial"/>
                <w:b/>
                <w:bCs/>
                <w:color w:val="524B48"/>
                <w:sz w:val="32"/>
                <w:szCs w:val="32"/>
                <w:u w:val="none"/>
              </w:rPr>
            </w:pPr>
            <w:r>
              <w:fldChar w:fldCharType="begin"/>
            </w:r>
            <w:r>
              <w:instrText>HYPERLINK "http://cpd.hk/evt000000392/"</w:instrText>
            </w:r>
            <w:r>
              <w:fldChar w:fldCharType="separate"/>
            </w:r>
            <w:r w:rsidRPr="00457CFF">
              <w:rPr>
                <w:rStyle w:val="Hyperlink"/>
                <w:rFonts w:ascii="Arial" w:hAnsi="Arial" w:cs="Arial"/>
                <w:b/>
                <w:bCs/>
                <w:color w:val="524B48"/>
                <w:sz w:val="32"/>
                <w:szCs w:val="32"/>
                <w:u w:val="none"/>
              </w:rPr>
              <w:t>Individual Debt</w:t>
            </w:r>
            <w:r>
              <w:rPr>
                <w:rStyle w:val="Hyperlink"/>
                <w:rFonts w:ascii="Arial" w:hAnsi="Arial" w:cs="Arial"/>
                <w:b/>
                <w:bCs/>
                <w:color w:val="524B48"/>
                <w:sz w:val="32"/>
                <w:szCs w:val="32"/>
                <w:u w:val="none"/>
              </w:rPr>
              <w:br/>
            </w:r>
            <w:r w:rsidRPr="00457CFF">
              <w:rPr>
                <w:rStyle w:val="Hyperlink"/>
                <w:rFonts w:ascii="Arial" w:hAnsi="Arial" w:cs="Arial"/>
                <w:b/>
                <w:bCs/>
                <w:color w:val="524B48"/>
                <w:sz w:val="32"/>
                <w:szCs w:val="32"/>
                <w:u w:val="none"/>
              </w:rPr>
              <w:t>Restructuring</w:t>
            </w:r>
          </w:p>
          <w:p w14:paraId="35D075AA" w14:textId="77777777" w:rsidR="00153286" w:rsidRPr="00032DE4" w:rsidRDefault="00153286" w:rsidP="009F291B">
            <w:pPr>
              <w:jc w:val="center"/>
              <w:rPr>
                <w:rFonts w:ascii="Arial" w:hAnsi="Arial" w:cs="Arial"/>
                <w:b/>
                <w:bCs/>
                <w:color w:val="524B48"/>
                <w:sz w:val="32"/>
                <w:szCs w:val="32"/>
              </w:rPr>
            </w:pPr>
            <w:r>
              <w:rPr>
                <w:rStyle w:val="Hyperlink"/>
                <w:rFonts w:ascii="Arial" w:hAnsi="Arial" w:cs="Arial"/>
                <w:b/>
                <w:bCs/>
                <w:color w:val="524B48"/>
                <w:sz w:val="32"/>
                <w:szCs w:val="32"/>
                <w:u w:val="none"/>
              </w:rPr>
              <w:t xml:space="preserve"> in Hong Kong</w:t>
            </w:r>
            <w:r>
              <w:rPr>
                <w:rStyle w:val="Hyperlink"/>
                <w:rFonts w:ascii="Arial" w:hAnsi="Arial" w:cs="Arial"/>
                <w:b/>
                <w:bCs/>
                <w:color w:val="524B48"/>
                <w:sz w:val="32"/>
                <w:szCs w:val="32"/>
                <w:u w:val="none"/>
              </w:rPr>
              <w:fldChar w:fldCharType="end"/>
            </w:r>
          </w:p>
          <w:p w14:paraId="193EC9CF" w14:textId="77777777" w:rsidR="00153286" w:rsidRPr="00731F7F" w:rsidRDefault="00153286" w:rsidP="009F291B">
            <w:pPr>
              <w:jc w:val="center"/>
              <w:rPr>
                <w:rFonts w:ascii="Arial" w:hAnsi="Arial" w:cs="Arial"/>
                <w:b/>
                <w:bCs/>
                <w:sz w:val="24"/>
                <w:szCs w:val="28"/>
              </w:rPr>
            </w:pPr>
          </w:p>
          <w:p w14:paraId="18D0D5E1" w14:textId="77777777" w:rsidR="00153286" w:rsidRPr="009D67FA" w:rsidRDefault="00153286" w:rsidP="009F291B">
            <w:pPr>
              <w:jc w:val="center"/>
              <w:rPr>
                <w:rFonts w:ascii="Arial" w:hAnsi="Arial" w:cs="Arial"/>
                <w:i/>
                <w:color w:val="6C6361"/>
                <w:sz w:val="24"/>
                <w:szCs w:val="24"/>
              </w:rPr>
            </w:pPr>
            <w:r w:rsidRPr="009D67FA">
              <w:rPr>
                <w:rFonts w:ascii="Arial" w:hAnsi="Arial" w:cs="Arial"/>
                <w:i/>
                <w:color w:val="6C6361"/>
                <w:sz w:val="24"/>
                <w:szCs w:val="24"/>
              </w:rPr>
              <w:t>by</w:t>
            </w:r>
          </w:p>
          <w:p w14:paraId="1EA9DDC0" w14:textId="77777777" w:rsidR="00153286" w:rsidRDefault="00153286" w:rsidP="009F291B">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Alan H.H. Cheung</w:t>
              </w:r>
            </w:hyperlink>
            <w:r>
              <w:rPr>
                <w:rFonts w:ascii="Arial" w:hAnsi="Arial" w:cs="Arial"/>
                <w:color w:val="6C6361"/>
                <w:sz w:val="24"/>
                <w:szCs w:val="24"/>
              </w:rPr>
              <w:t>,</w:t>
            </w:r>
          </w:p>
          <w:p w14:paraId="75ACCD63" w14:textId="77777777" w:rsidR="00153286" w:rsidRDefault="00153286" w:rsidP="009F291B">
            <w:pPr>
              <w:spacing w:line="276" w:lineRule="auto"/>
              <w:jc w:val="center"/>
              <w:rPr>
                <w:rFonts w:ascii="Arial" w:hAnsi="Arial" w:cs="Arial"/>
                <w:color w:val="6C6361"/>
                <w:sz w:val="24"/>
                <w:szCs w:val="24"/>
              </w:rPr>
            </w:pPr>
            <w:r>
              <w:rPr>
                <w:rFonts w:ascii="Arial" w:hAnsi="Arial" w:cs="Arial"/>
                <w:color w:val="6C6361"/>
                <w:sz w:val="24"/>
                <w:szCs w:val="24"/>
              </w:rPr>
              <w:t>FCPA, SD(Insolvency), CTA,</w:t>
            </w:r>
          </w:p>
          <w:p w14:paraId="0150497A" w14:textId="77777777" w:rsidR="00153286" w:rsidRDefault="00153286" w:rsidP="009F291B">
            <w:pPr>
              <w:spacing w:line="276" w:lineRule="auto"/>
              <w:jc w:val="center"/>
              <w:rPr>
                <w:rFonts w:ascii="Arial" w:hAnsi="Arial" w:cs="Arial"/>
                <w:color w:val="6C6361"/>
                <w:sz w:val="24"/>
                <w:szCs w:val="24"/>
              </w:rPr>
            </w:pPr>
            <w:r w:rsidRPr="00CA1A06">
              <w:rPr>
                <w:rFonts w:ascii="Arial" w:hAnsi="Arial" w:cs="Arial"/>
                <w:color w:val="6C6361"/>
                <w:sz w:val="24"/>
                <w:szCs w:val="24"/>
              </w:rPr>
              <w:t>Principal of Restructuring Services</w:t>
            </w:r>
            <w:r>
              <w:rPr>
                <w:rFonts w:ascii="Arial" w:hAnsi="Arial" w:cs="Arial"/>
                <w:color w:val="6C6361"/>
                <w:sz w:val="24"/>
                <w:szCs w:val="24"/>
              </w:rPr>
              <w:t>,</w:t>
            </w:r>
          </w:p>
          <w:p w14:paraId="001F8033" w14:textId="77777777" w:rsidR="00153286" w:rsidRPr="008259A9" w:rsidRDefault="00153286" w:rsidP="009F291B">
            <w:pPr>
              <w:jc w:val="center"/>
              <w:rPr>
                <w:rFonts w:ascii="Arial" w:hAnsi="Arial" w:cs="Arial"/>
                <w:color w:val="6C6361"/>
                <w:sz w:val="4"/>
                <w:szCs w:val="4"/>
              </w:rPr>
            </w:pPr>
            <w:r w:rsidRPr="00CA1A06">
              <w:rPr>
                <w:rFonts w:ascii="Arial" w:hAnsi="Arial" w:cs="Arial"/>
                <w:color w:val="6C6361"/>
                <w:sz w:val="24"/>
                <w:szCs w:val="24"/>
              </w:rPr>
              <w:t>Wing United CPA Limited</w:t>
            </w:r>
          </w:p>
        </w:tc>
        <w:tc>
          <w:tcPr>
            <w:tcW w:w="5954" w:type="dxa"/>
            <w:shd w:val="clear" w:color="auto" w:fill="FFFFFF"/>
            <w:vAlign w:val="center"/>
          </w:tcPr>
          <w:p w14:paraId="5385E4D1" w14:textId="77777777" w:rsidR="00153286" w:rsidRPr="00D50772" w:rsidRDefault="00153286" w:rsidP="009F291B">
            <w:pPr>
              <w:spacing w:line="276" w:lineRule="auto"/>
              <w:rPr>
                <w:rFonts w:ascii="Arial" w:eastAsia="Times New Roman" w:hAnsi="Arial" w:cs="Arial"/>
                <w:noProof/>
                <w:sz w:val="20"/>
                <w:szCs w:val="20"/>
              </w:rPr>
            </w:pPr>
            <w:r w:rsidRPr="008E4B12">
              <w:rPr>
                <w:rFonts w:ascii="Arial" w:eastAsia="Times New Roman" w:hAnsi="Arial" w:cs="Arial"/>
                <w:noProof/>
                <w:sz w:val="20"/>
                <w:szCs w:val="20"/>
              </w:rPr>
              <w:drawing>
                <wp:anchor distT="0" distB="0" distL="114300" distR="114300" simplePos="0" relativeHeight="251659264" behindDoc="0" locked="0" layoutInCell="1" allowOverlap="1" wp14:anchorId="65A74B65" wp14:editId="5E04492A">
                  <wp:simplePos x="0" y="0"/>
                  <wp:positionH relativeFrom="column">
                    <wp:posOffset>3171825</wp:posOffset>
                  </wp:positionH>
                  <wp:positionV relativeFrom="paragraph">
                    <wp:posOffset>-60960</wp:posOffset>
                  </wp:positionV>
                  <wp:extent cx="539750" cy="539750"/>
                  <wp:effectExtent l="0" t="0" r="6350" b="635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577CA8A" wp14:editId="3FA1FAC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2E4C5FF" w14:textId="77777777" w:rsidR="00153286" w:rsidRPr="00450D2C" w:rsidRDefault="00153286" w:rsidP="00153286">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153286" w:rsidRPr="00CB75DF" w14:paraId="0CB9BDF2" w14:textId="77777777" w:rsidTr="009F291B">
        <w:trPr>
          <w:trHeight w:val="5264"/>
          <w:jc w:val="center"/>
        </w:trPr>
        <w:tc>
          <w:tcPr>
            <w:tcW w:w="1985" w:type="dxa"/>
            <w:shd w:val="clear" w:color="auto" w:fill="FFFFFF"/>
            <w:vAlign w:val="center"/>
          </w:tcPr>
          <w:p w14:paraId="6D8C7F3B" w14:textId="77777777" w:rsidR="00153286" w:rsidRPr="00CB75DF" w:rsidRDefault="00153286" w:rsidP="009F291B">
            <w:pPr>
              <w:jc w:val="center"/>
              <w:rPr>
                <w:rFonts w:ascii="Arial" w:hAnsi="Arial" w:cs="Arial"/>
              </w:rPr>
            </w:pPr>
            <w:r w:rsidRPr="00CB75DF">
              <w:rPr>
                <w:rFonts w:ascii="Arial" w:hAnsi="Arial" w:cs="Arial"/>
                <w:noProof/>
              </w:rPr>
              <w:drawing>
                <wp:inline distT="0" distB="0" distL="0" distR="0" wp14:anchorId="441DAA29" wp14:editId="4115BDE3">
                  <wp:extent cx="1078704" cy="1438272"/>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1F9F218" w14:textId="77777777" w:rsidR="00153286" w:rsidRPr="00CB75DF" w:rsidRDefault="00153286" w:rsidP="009F291B">
            <w:pPr>
              <w:rPr>
                <w:rFonts w:ascii="Arial" w:hAnsi="Arial" w:cs="Arial"/>
                <w:color w:val="6C6361"/>
              </w:rPr>
            </w:pPr>
            <w:r w:rsidRPr="00CB75DF">
              <w:rPr>
                <w:rFonts w:ascii="Arial" w:hAnsi="Arial" w:cs="Arial"/>
                <w:color w:val="6C6361"/>
              </w:rPr>
              <w:t xml:space="preserve">Mr. Alan H.H. Cheung holds a Bachelor of Commerce degree (major in International Business) from University of Victoria in Canada, a Master of Professional Accounting degree from The Open University of Hong Kong and a Master of Finance in Taxation degree from Jinan University in Guangzhou, China.  Prior to joining Wing United CPA Limited as Principal of Restructuring Services, Alan gained his experience through working at the Corporate Restructuring and Insolvency Department of </w:t>
            </w:r>
            <w:proofErr w:type="spellStart"/>
            <w:r w:rsidRPr="00CB75DF">
              <w:rPr>
                <w:rFonts w:ascii="Arial" w:hAnsi="Arial" w:cs="Arial"/>
                <w:color w:val="6C6361"/>
              </w:rPr>
              <w:t>Kennic</w:t>
            </w:r>
            <w:proofErr w:type="spellEnd"/>
            <w:r w:rsidRPr="00CB75DF">
              <w:rPr>
                <w:rFonts w:ascii="Arial" w:hAnsi="Arial" w:cs="Arial"/>
                <w:color w:val="6C6361"/>
              </w:rPr>
              <w:t xml:space="preserve"> L. H. Lui &amp; Co., Tax Services Department of Ernst &amp; Young and the head of the Corporate Restructuring and Insolvency Department of YWC &amp; Partners and Libra CPA Limited.</w:t>
            </w:r>
          </w:p>
          <w:p w14:paraId="2CC95FB5" w14:textId="77777777" w:rsidR="00153286" w:rsidRPr="00CB75DF" w:rsidRDefault="00153286" w:rsidP="009F291B">
            <w:pPr>
              <w:rPr>
                <w:rFonts w:ascii="Arial" w:hAnsi="Arial" w:cs="Arial"/>
                <w:color w:val="6C6361"/>
                <w:sz w:val="10"/>
                <w:szCs w:val="10"/>
              </w:rPr>
            </w:pPr>
          </w:p>
          <w:p w14:paraId="44696630" w14:textId="77777777" w:rsidR="00153286" w:rsidRPr="00CB75DF" w:rsidRDefault="00153286" w:rsidP="009F291B">
            <w:pPr>
              <w:rPr>
                <w:rFonts w:ascii="Arial" w:hAnsi="Arial" w:cs="Arial"/>
                <w:color w:val="6C6361"/>
              </w:rPr>
            </w:pPr>
            <w:r w:rsidRPr="00CB75DF">
              <w:rPr>
                <w:rFonts w:ascii="Arial" w:hAnsi="Arial" w:cs="Arial"/>
                <w:color w:val="6C6361"/>
              </w:rPr>
              <w:t>He specializes in insolvency assignments, such as companies winding-ups and individual voluntary arrangements, as well as Hong Kong tax, in both compliance and advisory.  Alan has more than 15 years of hands-on experience in insolvency matters and more than 3 years of hands-on experience in dealing with the Hong Kong Inland Revenue Department and mainland tax authorities.</w:t>
            </w:r>
          </w:p>
          <w:p w14:paraId="1A822B90" w14:textId="77777777" w:rsidR="00153286" w:rsidRPr="00CB75DF" w:rsidRDefault="00153286" w:rsidP="009F291B">
            <w:pPr>
              <w:rPr>
                <w:rFonts w:ascii="Arial" w:hAnsi="Arial" w:cs="Arial"/>
                <w:color w:val="6C6361"/>
                <w:sz w:val="10"/>
                <w:szCs w:val="10"/>
              </w:rPr>
            </w:pPr>
          </w:p>
          <w:p w14:paraId="0ECDEAEA" w14:textId="77777777" w:rsidR="00153286" w:rsidRPr="00CB75DF" w:rsidRDefault="00153286" w:rsidP="009F291B">
            <w:pPr>
              <w:rPr>
                <w:rFonts w:ascii="Arial" w:hAnsi="Arial" w:cs="Arial"/>
              </w:rPr>
            </w:pPr>
            <w:r w:rsidRPr="00CB75DF">
              <w:rPr>
                <w:rFonts w:ascii="Arial" w:hAnsi="Arial" w:cs="Arial"/>
                <w:color w:val="6C6361"/>
              </w:rPr>
              <w:t>Alan is also a member of Hong Kong Institute of Certified Public Accountants (“HKICPA”), The Taxation Institute of Hong Kong, Restructuring and Insolvency Faculty of the HKICPA and INSOL International, an international association of restructuring, insolvency and bankruptcy professionals.  He is also award by the HKICPA the Specialist Designation in Insolvency, in which there are only around 65 accountants awarded out of the 40,000 plus members of the HKICPA.</w:t>
            </w:r>
            <w:r w:rsidRPr="00CB75DF">
              <w:rPr>
                <w:noProof/>
              </w:rPr>
              <w:t xml:space="preserve"> </w:t>
            </w:r>
          </w:p>
        </w:tc>
      </w:tr>
    </w:tbl>
    <w:p w14:paraId="4CB8A376" w14:textId="77777777" w:rsidR="00153286" w:rsidRPr="00450D2C" w:rsidRDefault="00153286" w:rsidP="00153286">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8980"/>
        <w:gridCol w:w="1793"/>
      </w:tblGrid>
      <w:tr w:rsidR="00153286" w:rsidRPr="00CB75DF" w14:paraId="7CBB55DD" w14:textId="77777777" w:rsidTr="009F291B">
        <w:trPr>
          <w:trHeight w:val="340"/>
          <w:jc w:val="center"/>
        </w:trPr>
        <w:tc>
          <w:tcPr>
            <w:tcW w:w="8980" w:type="dxa"/>
            <w:tcBorders>
              <w:top w:val="nil"/>
              <w:bottom w:val="nil"/>
              <w:right w:val="nil"/>
            </w:tcBorders>
            <w:shd w:val="clear" w:color="auto" w:fill="F0EBE1"/>
            <w:vAlign w:val="center"/>
          </w:tcPr>
          <w:p w14:paraId="6263C8B2" w14:textId="77777777" w:rsidR="00153286" w:rsidRPr="00CB75DF" w:rsidRDefault="00153286" w:rsidP="009F291B">
            <w:pPr>
              <w:rPr>
                <w:rFonts w:ascii="Arial" w:hAnsi="Arial" w:cs="Arial"/>
                <w:b/>
                <w:color w:val="524B48"/>
              </w:rPr>
            </w:pPr>
            <w:r w:rsidRPr="00CB75DF">
              <w:rPr>
                <w:rFonts w:ascii="Arial" w:hAnsi="Arial" w:cs="Arial"/>
                <w:b/>
                <w:color w:val="524B48"/>
              </w:rPr>
              <w:t>The course will cover the followings:</w:t>
            </w:r>
          </w:p>
        </w:tc>
        <w:tc>
          <w:tcPr>
            <w:tcW w:w="1793" w:type="dxa"/>
            <w:vMerge w:val="restart"/>
            <w:tcBorders>
              <w:top w:val="nil"/>
              <w:left w:val="nil"/>
              <w:bottom w:val="nil"/>
            </w:tcBorders>
            <w:shd w:val="clear" w:color="auto" w:fill="FFFFFF" w:themeFill="background1"/>
            <w:vAlign w:val="center"/>
          </w:tcPr>
          <w:p w14:paraId="291744E9" w14:textId="77777777" w:rsidR="00153286" w:rsidRPr="008A1E4A" w:rsidRDefault="00153286" w:rsidP="009F291B">
            <w:pPr>
              <w:jc w:val="center"/>
              <w:rPr>
                <w:rFonts w:ascii="Arial" w:hAnsi="Arial" w:cs="Arial"/>
                <w:color w:val="6C6361"/>
              </w:rPr>
            </w:pPr>
            <w:r w:rsidRPr="00CB75DF">
              <w:rPr>
                <w:noProof/>
              </w:rPr>
              <w:drawing>
                <wp:inline distT="0" distB="0" distL="0" distR="0" wp14:anchorId="7A2282E1" wp14:editId="1903F4A4">
                  <wp:extent cx="890047" cy="1018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0047" cy="1018540"/>
                          </a:xfrm>
                          <a:prstGeom prst="rect">
                            <a:avLst/>
                          </a:prstGeom>
                          <a:noFill/>
                          <a:ln>
                            <a:noFill/>
                          </a:ln>
                        </pic:spPr>
                      </pic:pic>
                    </a:graphicData>
                  </a:graphic>
                </wp:inline>
              </w:drawing>
            </w:r>
          </w:p>
        </w:tc>
      </w:tr>
      <w:tr w:rsidR="00153286" w:rsidRPr="00CB75DF" w14:paraId="0A51228E" w14:textId="77777777" w:rsidTr="009F291B">
        <w:trPr>
          <w:trHeight w:val="1675"/>
          <w:jc w:val="center"/>
        </w:trPr>
        <w:tc>
          <w:tcPr>
            <w:tcW w:w="8980" w:type="dxa"/>
            <w:tcBorders>
              <w:top w:val="nil"/>
              <w:bottom w:val="nil"/>
              <w:right w:val="nil"/>
            </w:tcBorders>
            <w:shd w:val="clear" w:color="auto" w:fill="FFFFFF"/>
            <w:vAlign w:val="center"/>
          </w:tcPr>
          <w:p w14:paraId="39D9FA78"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Statute governing individual debt restructurings in Hong Kong</w:t>
            </w:r>
          </w:p>
          <w:p w14:paraId="7A6A98BE"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Modes of debt restructuring (DRP vs IVA)</w:t>
            </w:r>
          </w:p>
          <w:p w14:paraId="6672B858"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Effect of interim order</w:t>
            </w:r>
          </w:p>
          <w:p w14:paraId="5A16E39B"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Duties of nominee</w:t>
            </w:r>
          </w:p>
          <w:p w14:paraId="3B2690C5"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Implementation of IVA</w:t>
            </w:r>
          </w:p>
          <w:p w14:paraId="518C98C7" w14:textId="77777777" w:rsidR="00153286" w:rsidRPr="00CB75DF" w:rsidRDefault="00153286" w:rsidP="009F291B">
            <w:pPr>
              <w:pStyle w:val="ListParagraph"/>
              <w:numPr>
                <w:ilvl w:val="0"/>
                <w:numId w:val="2"/>
              </w:numPr>
              <w:rPr>
                <w:rFonts w:ascii="Arial" w:hAnsi="Arial" w:cs="Arial"/>
                <w:color w:val="6C6361"/>
              </w:rPr>
            </w:pPr>
            <w:r w:rsidRPr="00CB75DF">
              <w:rPr>
                <w:rFonts w:ascii="Arial" w:hAnsi="Arial" w:cs="Arial"/>
                <w:color w:val="6C6361"/>
              </w:rPr>
              <w:t>Cases sharing</w:t>
            </w:r>
          </w:p>
        </w:tc>
        <w:tc>
          <w:tcPr>
            <w:tcW w:w="1793" w:type="dxa"/>
            <w:vMerge/>
            <w:tcBorders>
              <w:left w:val="nil"/>
              <w:bottom w:val="nil"/>
            </w:tcBorders>
            <w:shd w:val="clear" w:color="auto" w:fill="FFFFFF" w:themeFill="background1"/>
            <w:vAlign w:val="center"/>
          </w:tcPr>
          <w:p w14:paraId="19CDE183" w14:textId="77777777" w:rsidR="00153286" w:rsidRPr="00CB75DF" w:rsidRDefault="00153286" w:rsidP="009F291B">
            <w:pPr>
              <w:pStyle w:val="ListParagraph"/>
              <w:numPr>
                <w:ilvl w:val="0"/>
                <w:numId w:val="2"/>
              </w:numPr>
              <w:rPr>
                <w:rFonts w:ascii="Arial" w:hAnsi="Arial" w:cs="Arial"/>
                <w:color w:val="6C6361"/>
              </w:rPr>
            </w:pPr>
          </w:p>
        </w:tc>
      </w:tr>
    </w:tbl>
    <w:p w14:paraId="31916048" w14:textId="77777777" w:rsidR="00153286" w:rsidRPr="00153286" w:rsidRDefault="00153286" w:rsidP="001F5BE9">
      <w:pPr>
        <w:spacing w:line="276" w:lineRule="auto"/>
        <w:jc w:val="left"/>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153286" w:rsidRPr="005A2F25" w14:paraId="78C3BDB7" w14:textId="77777777" w:rsidTr="00991220">
        <w:trPr>
          <w:trHeight w:val="284"/>
          <w:jc w:val="center"/>
        </w:trPr>
        <w:tc>
          <w:tcPr>
            <w:tcW w:w="1695" w:type="dxa"/>
            <w:tcBorders>
              <w:top w:val="nil"/>
              <w:left w:val="nil"/>
              <w:bottom w:val="single" w:sz="12" w:space="0" w:color="FFFFFF"/>
            </w:tcBorders>
            <w:shd w:val="clear" w:color="auto" w:fill="F0EBE1"/>
            <w:vAlign w:val="center"/>
          </w:tcPr>
          <w:p w14:paraId="34078430" w14:textId="0EF454D1"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14:paraId="1F66F29E" w14:textId="504473FC"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EVT000000392</w:t>
            </w:r>
          </w:p>
        </w:tc>
        <w:tc>
          <w:tcPr>
            <w:tcW w:w="1700" w:type="dxa"/>
            <w:tcBorders>
              <w:top w:val="nil"/>
              <w:bottom w:val="single" w:sz="12" w:space="0" w:color="FFFFFF"/>
            </w:tcBorders>
            <w:shd w:val="clear" w:color="auto" w:fill="F0EBE1"/>
            <w:vAlign w:val="center"/>
          </w:tcPr>
          <w:p w14:paraId="4B764E52" w14:textId="5B273EFF"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14:paraId="14A77F1A" w14:textId="621F6443"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53286" w:rsidRPr="005A2F25" w14:paraId="486FD4BD" w14:textId="77777777" w:rsidTr="00991220">
        <w:trPr>
          <w:trHeight w:val="284"/>
          <w:jc w:val="center"/>
        </w:trPr>
        <w:tc>
          <w:tcPr>
            <w:tcW w:w="1695" w:type="dxa"/>
            <w:tcBorders>
              <w:top w:val="single" w:sz="12" w:space="0" w:color="FFFFFF"/>
              <w:left w:val="nil"/>
              <w:bottom w:val="single" w:sz="12" w:space="0" w:color="FFFFFF"/>
            </w:tcBorders>
            <w:shd w:val="clear" w:color="auto" w:fill="F0EBE1"/>
            <w:vAlign w:val="center"/>
          </w:tcPr>
          <w:p w14:paraId="08521B4E" w14:textId="2BD2CD17"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14:paraId="50EE42B2" w14:textId="57A56686" w:rsidR="00153286" w:rsidRPr="006B70C1"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May 2023 (Thursday)</w:t>
            </w:r>
          </w:p>
        </w:tc>
        <w:tc>
          <w:tcPr>
            <w:tcW w:w="1700" w:type="dxa"/>
            <w:tcBorders>
              <w:top w:val="single" w:sz="12" w:space="0" w:color="FFFFFF"/>
              <w:bottom w:val="single" w:sz="12" w:space="0" w:color="FFFFFF"/>
            </w:tcBorders>
            <w:shd w:val="clear" w:color="auto" w:fill="F0EBE1"/>
            <w:vAlign w:val="center"/>
          </w:tcPr>
          <w:p w14:paraId="5F818BD1" w14:textId="64B25CA7"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14:paraId="7CF5BC68" w14:textId="77777777" w:rsidR="00153286"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5F2924A6" w14:textId="7A49E354"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D5D9F">
              <w:rPr>
                <w:rFonts w:ascii="Arial" w:eastAsia="Times New Roman" w:hAnsi="Arial" w:cs="Arial"/>
                <w:b/>
                <w:noProof/>
                <w:color w:val="6C6361"/>
                <w:sz w:val="20"/>
                <w:szCs w:val="20"/>
              </w:rPr>
              <w:t>(Course Materials in English)</w:t>
            </w:r>
          </w:p>
        </w:tc>
      </w:tr>
      <w:tr w:rsidR="00153286" w:rsidRPr="005A2F25" w14:paraId="58197FD9" w14:textId="77777777" w:rsidTr="00991220">
        <w:trPr>
          <w:trHeight w:val="284"/>
          <w:jc w:val="center"/>
        </w:trPr>
        <w:tc>
          <w:tcPr>
            <w:tcW w:w="1695" w:type="dxa"/>
            <w:tcBorders>
              <w:top w:val="single" w:sz="12" w:space="0" w:color="FFFFFF"/>
              <w:left w:val="nil"/>
              <w:bottom w:val="single" w:sz="12" w:space="0" w:color="FFFFFF"/>
            </w:tcBorders>
            <w:shd w:val="clear" w:color="auto" w:fill="F0EBE1"/>
            <w:vAlign w:val="center"/>
          </w:tcPr>
          <w:p w14:paraId="054127BD" w14:textId="2DA859B6"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14:paraId="76F6F009" w14:textId="77777777" w:rsidR="00153286"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15:30 - 17:45</w:t>
            </w:r>
          </w:p>
          <w:p w14:paraId="6023BC2A" w14:textId="7A638114" w:rsidR="00153286" w:rsidRPr="00EC7ADB"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15</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55F68660" w14:textId="19F55E12" w:rsidR="00153286"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14:paraId="66BBBA3F" w14:textId="77777777" w:rsidR="00153286"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2.0 </w:t>
            </w:r>
            <w:r w:rsidRPr="002343EF">
              <w:rPr>
                <w:rFonts w:ascii="Arial" w:hAnsi="Arial" w:cs="Arial"/>
                <w:b/>
                <w:color w:val="6C6361"/>
                <w:sz w:val="20"/>
                <w:szCs w:val="20"/>
              </w:rPr>
              <w:t>CPD Points</w:t>
            </w:r>
          </w:p>
          <w:p w14:paraId="189CF2C0" w14:textId="4AE4F826" w:rsidR="00153286" w:rsidRPr="006B70C1"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2.0 CPT Hours</w:t>
            </w:r>
          </w:p>
        </w:tc>
      </w:tr>
      <w:tr w:rsidR="001F5BE9" w:rsidRPr="005A2F25" w14:paraId="3A5853ED" w14:textId="77777777" w:rsidTr="00991220">
        <w:trPr>
          <w:trHeight w:val="1247"/>
          <w:jc w:val="center"/>
        </w:trPr>
        <w:tc>
          <w:tcPr>
            <w:tcW w:w="1695" w:type="dxa"/>
            <w:tcBorders>
              <w:top w:val="single" w:sz="12" w:space="0" w:color="FFFFFF"/>
              <w:left w:val="nil"/>
              <w:bottom w:val="nil"/>
            </w:tcBorders>
            <w:shd w:val="clear" w:color="auto" w:fill="F0EBE1"/>
            <w:vAlign w:val="center"/>
          </w:tcPr>
          <w:p w14:paraId="654A8856" w14:textId="77777777"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14:paraId="3CFD5F9C" w14:textId="77777777" w:rsidR="00153286" w:rsidRDefault="00153286" w:rsidP="0015328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5F49B8DD" w14:textId="77777777" w:rsidR="00153286" w:rsidRPr="002D6743" w:rsidRDefault="00153286" w:rsidP="0015328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2A45E448" w14:textId="77777777" w:rsidR="00153286" w:rsidRPr="00B90951" w:rsidRDefault="00153286" w:rsidP="0015328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56536A82" w14:textId="77777777" w:rsidR="00153286" w:rsidRPr="00B90951"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5929DA96" w14:textId="77777777" w:rsidR="00153286" w:rsidRPr="00B90951"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5C4FFB4" w14:textId="35B392C5" w:rsidR="001F5BE9" w:rsidRPr="002343EF" w:rsidRDefault="00153286" w:rsidP="00153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319267B2" w14:textId="77777777" w:rsidR="001F5BE9" w:rsidRPr="00334CAE" w:rsidRDefault="001F5BE9" w:rsidP="00991220">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008A218" wp14:editId="363F2EE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8A0E032" w14:textId="77777777" w:rsidR="001F5BE9" w:rsidRPr="00334CAE" w:rsidRDefault="001F5BE9" w:rsidP="00991220">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14:paraId="2EC5B169" w14:textId="77777777"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7133DB6A" w14:textId="77777777"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14:paraId="6D755C47" w14:textId="77777777"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4A6209DA" w14:textId="77777777"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2E20C5FD" w14:textId="77777777" w:rsidR="001F5BE9" w:rsidRPr="00156567"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0F68ED6" wp14:editId="7DD26F7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69987CD8" w14:textId="77777777" w:rsidR="00214BC6" w:rsidRPr="001F5BE9" w:rsidRDefault="00214BC6" w:rsidP="001F5BE9">
      <w:pPr>
        <w:rPr>
          <w:sz w:val="2"/>
          <w:szCs w:val="2"/>
        </w:rPr>
      </w:pPr>
    </w:p>
    <w:sectPr w:rsidR="00214BC6" w:rsidRPr="001F5BE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A0CD2" w14:textId="77777777" w:rsidR="00BF0045" w:rsidRDefault="00BF0045" w:rsidP="00546556">
      <w:r>
        <w:separator/>
      </w:r>
    </w:p>
  </w:endnote>
  <w:endnote w:type="continuationSeparator" w:id="0">
    <w:p w14:paraId="579D910D" w14:textId="77777777" w:rsidR="00BF0045" w:rsidRDefault="00BF004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AE43"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D2B1284" w14:textId="77777777" w:rsidTr="00A775CE">
      <w:trPr>
        <w:trHeight w:val="1824"/>
        <w:jc w:val="center"/>
      </w:trPr>
      <w:tc>
        <w:tcPr>
          <w:tcW w:w="5954" w:type="dxa"/>
          <w:vAlign w:val="bottom"/>
        </w:tcPr>
        <w:p w14:paraId="6ED51694"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1B3BF21" wp14:editId="07B8192D">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7FD02E96" w14:textId="77777777" w:rsidR="00197F64" w:rsidRPr="00EA2D57" w:rsidRDefault="00197F64" w:rsidP="00197F64">
          <w:pPr>
            <w:ind w:right="33"/>
            <w:jc w:val="center"/>
            <w:rPr>
              <w:rFonts w:ascii="Arial" w:hAnsi="Arial" w:cs="Arial"/>
              <w:color w:val="E4DCCA"/>
              <w:sz w:val="16"/>
              <w:szCs w:val="16"/>
            </w:rPr>
          </w:pPr>
        </w:p>
        <w:p w14:paraId="70983663"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1A6B649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FE824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2D8583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3CAA9210" wp14:editId="76B24AEC">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0BE5828"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148C64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FEA8FA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7495733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723A16"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8723875"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BC8BC" w14:textId="77777777" w:rsidR="00BF0045" w:rsidRDefault="00BF0045" w:rsidP="00546556">
      <w:r>
        <w:separator/>
      </w:r>
    </w:p>
  </w:footnote>
  <w:footnote w:type="continuationSeparator" w:id="0">
    <w:p w14:paraId="26CF2D89" w14:textId="77777777" w:rsidR="00BF0045" w:rsidRDefault="00BF004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9EC0" w14:textId="77777777" w:rsidR="002C4DC0" w:rsidRDefault="00F0384F">
    <w:pPr>
      <w:pStyle w:val="Header"/>
    </w:pPr>
    <w:r>
      <w:rPr>
        <w:noProof/>
      </w:rPr>
      <w:drawing>
        <wp:anchor distT="0" distB="0" distL="114300" distR="114300" simplePos="0" relativeHeight="251659264" behindDoc="1" locked="0" layoutInCell="1" allowOverlap="1" wp14:anchorId="7C50A0D4" wp14:editId="3C36E9CA">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aECRyS6eeoxiMWlYxSfYDOxSx4SlsRSmWfTYoUfTwAvgI3Coq//r9UEpqAAG7+nYSFPkfIHbfDJzSKAN7Sslvg==" w:salt="SKlwfiX4F8w+8l+n4/2pH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286"/>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0D9"/>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0045"/>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2A7C"/>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3176B436"/>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56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9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1E89-8F5F-47F6-A444-0DDE9EEB7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CPT Course: Companies Winding-Up in Hong Kong</vt:lpstr>
    </vt:vector>
  </TitlesOfParts>
  <Manager>Tyrone Tsang</Manager>
  <Company>The Profectional Company Limited</Company>
  <LinksUpToDate>false</LinksUpToDate>
  <CharactersWithSpaces>2513</CharactersWithSpaces>
  <SharedDoc>false</SharedDoc>
  <HyperlinkBase>http://download.profectional.com/events/EVT000000392.docx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Individual Debt Restructuring in Hong Kong</dc:title>
  <dc:subject>CPD Course, CPT Course: Individual Debt Restructuring in Hong Kong</dc:subject>
  <dc:creator>The Profectional Company Limited</dc:creator>
  <cp:keywords>Profectional; Kornerstone; CPD; CPT; CLE; CE; RME; Alan Hok Hin Cheung; FCPA; SD(Insolvency); CTA; Principal of Restructuring Services; Wing United CPA Limited</cp:keywords>
  <cp:lastModifiedBy>Tyrone Tsang</cp:lastModifiedBy>
  <cp:revision>16</cp:revision>
  <cp:lastPrinted>2023-05-17T14:19:00Z</cp:lastPrinted>
  <dcterms:created xsi:type="dcterms:W3CDTF">2017-01-12T02:41:00Z</dcterms:created>
  <dcterms:modified xsi:type="dcterms:W3CDTF">2023-05-17T14:19:00Z</dcterms:modified>
</cp:coreProperties>
</file>