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F01F1" w14:textId="77777777" w:rsidR="00F00701" w:rsidRPr="00F00701" w:rsidRDefault="00F00701" w:rsidP="00F00701">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F00701" w:rsidRPr="00523A64" w14:paraId="07ECF5BC" w14:textId="77777777" w:rsidTr="00186F0E">
        <w:trPr>
          <w:trHeight w:val="3119"/>
          <w:jc w:val="center"/>
        </w:trPr>
        <w:tc>
          <w:tcPr>
            <w:tcW w:w="4820" w:type="dxa"/>
            <w:shd w:val="clear" w:color="auto" w:fill="FFFFFF"/>
            <w:vAlign w:val="center"/>
          </w:tcPr>
          <w:p w14:paraId="62CA3957" w14:textId="77777777" w:rsidR="00F00701" w:rsidRPr="001A3018" w:rsidRDefault="00F00701" w:rsidP="00186F0E">
            <w:pPr>
              <w:jc w:val="center"/>
              <w:rPr>
                <w:rFonts w:ascii="Arial" w:hAnsi="Arial" w:cs="Arial"/>
                <w:b/>
                <w:bCs/>
                <w:color w:val="524B48"/>
                <w:sz w:val="4"/>
                <w:szCs w:val="4"/>
              </w:rPr>
            </w:pPr>
          </w:p>
          <w:p w14:paraId="0306A0B1" w14:textId="77777777" w:rsidR="00F00701" w:rsidRPr="00CF685C" w:rsidRDefault="00F00701" w:rsidP="00186F0E">
            <w:pPr>
              <w:jc w:val="center"/>
              <w:rPr>
                <w:rStyle w:val="Hyperlink"/>
                <w:rFonts w:ascii="Arial" w:hAnsi="Arial" w:cs="Arial"/>
                <w:b/>
                <w:bCs/>
                <w:color w:val="524B48"/>
                <w:sz w:val="32"/>
                <w:szCs w:val="32"/>
                <w:u w:val="none"/>
              </w:rPr>
            </w:pPr>
            <w:r w:rsidRPr="00CF685C">
              <w:fldChar w:fldCharType="begin"/>
            </w:r>
            <w:r>
              <w:instrText>HYPERLINK "http://cpd.hk/evt000000393/"</w:instrText>
            </w:r>
            <w:r w:rsidRPr="00CF685C">
              <w:fldChar w:fldCharType="separate"/>
            </w:r>
            <w:r w:rsidRPr="000E4DAA">
              <w:rPr>
                <w:rStyle w:val="Hyperlink"/>
                <w:rFonts w:ascii="Arial" w:hAnsi="Arial" w:cs="Arial"/>
                <w:b/>
                <w:bCs/>
                <w:color w:val="524B48"/>
                <w:sz w:val="32"/>
                <w:szCs w:val="32"/>
                <w:u w:val="none"/>
              </w:rPr>
              <w:t>How Should You</w:t>
            </w:r>
            <w:r>
              <w:rPr>
                <w:rStyle w:val="Hyperlink"/>
                <w:rFonts w:ascii="Arial" w:hAnsi="Arial" w:cs="Arial"/>
                <w:b/>
                <w:bCs/>
                <w:color w:val="524B48"/>
                <w:sz w:val="32"/>
                <w:szCs w:val="32"/>
                <w:u w:val="none"/>
              </w:rPr>
              <w:br/>
            </w:r>
            <w:r w:rsidRPr="000E4DAA">
              <w:rPr>
                <w:rStyle w:val="Hyperlink"/>
                <w:rFonts w:ascii="Arial" w:hAnsi="Arial" w:cs="Arial"/>
                <w:b/>
                <w:bCs/>
                <w:color w:val="524B48"/>
                <w:sz w:val="32"/>
                <w:szCs w:val="32"/>
                <w:u w:val="none"/>
              </w:rPr>
              <w:t>Choose</w:t>
            </w:r>
            <w:r>
              <w:rPr>
                <w:rStyle w:val="Hyperlink"/>
                <w:rFonts w:ascii="Arial" w:hAnsi="Arial" w:cs="Arial"/>
                <w:b/>
                <w:bCs/>
                <w:color w:val="524B48"/>
                <w:sz w:val="32"/>
                <w:szCs w:val="32"/>
                <w:u w:val="none"/>
              </w:rPr>
              <w:t xml:space="preserve"> </w:t>
            </w:r>
            <w:r w:rsidRPr="000E4DAA">
              <w:rPr>
                <w:rStyle w:val="Hyperlink"/>
                <w:rFonts w:ascii="Arial" w:hAnsi="Arial" w:cs="Arial"/>
                <w:b/>
                <w:bCs/>
                <w:color w:val="524B48"/>
                <w:sz w:val="32"/>
                <w:szCs w:val="32"/>
                <w:u w:val="none"/>
              </w:rPr>
              <w:t>the</w:t>
            </w:r>
            <w:r>
              <w:rPr>
                <w:rStyle w:val="Hyperlink"/>
                <w:rFonts w:ascii="Arial" w:hAnsi="Arial" w:cs="Arial"/>
                <w:b/>
                <w:bCs/>
                <w:color w:val="524B48"/>
                <w:sz w:val="32"/>
                <w:szCs w:val="32"/>
                <w:u w:val="none"/>
              </w:rPr>
              <w:br/>
            </w:r>
            <w:r w:rsidRPr="000E4DAA">
              <w:rPr>
                <w:rStyle w:val="Hyperlink"/>
                <w:rFonts w:ascii="Arial" w:hAnsi="Arial" w:cs="Arial"/>
                <w:b/>
                <w:bCs/>
                <w:color w:val="524B48"/>
                <w:sz w:val="32"/>
                <w:szCs w:val="32"/>
                <w:u w:val="none"/>
              </w:rPr>
              <w:t>Governing</w:t>
            </w:r>
            <w:r>
              <w:rPr>
                <w:rStyle w:val="Hyperlink"/>
                <w:rFonts w:ascii="Arial" w:hAnsi="Arial" w:cs="Arial"/>
                <w:b/>
                <w:bCs/>
                <w:color w:val="524B48"/>
                <w:sz w:val="32"/>
                <w:szCs w:val="32"/>
                <w:u w:val="none"/>
              </w:rPr>
              <w:t xml:space="preserve"> </w:t>
            </w:r>
            <w:r w:rsidRPr="000E4DAA">
              <w:rPr>
                <w:rStyle w:val="Hyperlink"/>
                <w:rFonts w:ascii="Arial" w:hAnsi="Arial" w:cs="Arial"/>
                <w:b/>
                <w:bCs/>
                <w:color w:val="524B48"/>
                <w:sz w:val="32"/>
                <w:szCs w:val="32"/>
                <w:u w:val="none"/>
              </w:rPr>
              <w:t>Law</w:t>
            </w:r>
            <w:r>
              <w:rPr>
                <w:rStyle w:val="Hyperlink"/>
                <w:rFonts w:ascii="Arial" w:hAnsi="Arial" w:cs="Arial"/>
                <w:b/>
                <w:bCs/>
                <w:color w:val="524B48"/>
                <w:sz w:val="32"/>
                <w:szCs w:val="32"/>
                <w:u w:val="none"/>
              </w:rPr>
              <w:t xml:space="preserve"> </w:t>
            </w:r>
            <w:r w:rsidRPr="000E4DAA">
              <w:rPr>
                <w:rStyle w:val="Hyperlink"/>
                <w:rFonts w:ascii="Arial" w:hAnsi="Arial" w:cs="Arial"/>
                <w:b/>
                <w:bCs/>
                <w:color w:val="524B48"/>
                <w:sz w:val="32"/>
                <w:szCs w:val="32"/>
                <w:u w:val="none"/>
              </w:rPr>
              <w:t>of Your</w:t>
            </w:r>
            <w:r>
              <w:rPr>
                <w:rStyle w:val="Hyperlink"/>
                <w:rFonts w:ascii="Arial" w:hAnsi="Arial" w:cs="Arial"/>
                <w:b/>
                <w:bCs/>
                <w:color w:val="524B48"/>
                <w:sz w:val="32"/>
                <w:szCs w:val="32"/>
                <w:u w:val="none"/>
              </w:rPr>
              <w:br/>
            </w:r>
            <w:r w:rsidRPr="000E4DAA">
              <w:rPr>
                <w:rStyle w:val="Hyperlink"/>
                <w:rFonts w:ascii="Arial" w:hAnsi="Arial" w:cs="Arial"/>
                <w:b/>
                <w:bCs/>
                <w:color w:val="524B48"/>
                <w:sz w:val="32"/>
                <w:szCs w:val="32"/>
                <w:u w:val="none"/>
              </w:rPr>
              <w:t>Commercial Contract?</w:t>
            </w:r>
            <w:r>
              <w:rPr>
                <w:rStyle w:val="Hyperlink"/>
                <w:rFonts w:ascii="Arial" w:hAnsi="Arial" w:cs="Arial"/>
                <w:b/>
                <w:bCs/>
                <w:color w:val="524B48"/>
                <w:sz w:val="32"/>
                <w:szCs w:val="32"/>
                <w:u w:val="none"/>
              </w:rPr>
              <w:br/>
            </w:r>
            <w:r w:rsidRPr="000E4DAA">
              <w:rPr>
                <w:rStyle w:val="Hyperlink"/>
                <w:rFonts w:ascii="Arial" w:hAnsi="Arial" w:cs="Arial"/>
                <w:b/>
                <w:bCs/>
                <w:color w:val="524B48"/>
                <w:sz w:val="32"/>
                <w:szCs w:val="32"/>
                <w:u w:val="none"/>
              </w:rPr>
              <w:t>Principles on</w:t>
            </w:r>
            <w:r>
              <w:rPr>
                <w:rStyle w:val="Hyperlink"/>
                <w:rFonts w:ascii="Arial" w:hAnsi="Arial" w:cs="Arial"/>
                <w:b/>
                <w:bCs/>
                <w:color w:val="524B48"/>
                <w:sz w:val="32"/>
                <w:szCs w:val="32"/>
                <w:u w:val="none"/>
              </w:rPr>
              <w:br/>
            </w:r>
            <w:r w:rsidRPr="000E4DAA">
              <w:rPr>
                <w:rStyle w:val="Hyperlink"/>
                <w:rFonts w:ascii="Arial" w:hAnsi="Arial" w:cs="Arial"/>
                <w:b/>
                <w:bCs/>
                <w:color w:val="524B48"/>
                <w:sz w:val="32"/>
                <w:szCs w:val="32"/>
                <w:u w:val="none"/>
              </w:rPr>
              <w:t>Choice of Law</w:t>
            </w:r>
            <w:r>
              <w:rPr>
                <w:rStyle w:val="Hyperlink"/>
                <w:rFonts w:ascii="Arial" w:hAnsi="Arial" w:cs="Arial"/>
                <w:b/>
                <w:bCs/>
                <w:color w:val="524B48"/>
                <w:sz w:val="32"/>
                <w:szCs w:val="32"/>
                <w:u w:val="none"/>
              </w:rPr>
              <w:br/>
            </w:r>
            <w:r w:rsidRPr="000E4DAA">
              <w:rPr>
                <w:rStyle w:val="Hyperlink"/>
                <w:rFonts w:ascii="Arial" w:hAnsi="Arial" w:cs="Arial"/>
                <w:b/>
                <w:bCs/>
                <w:color w:val="524B48"/>
                <w:sz w:val="32"/>
                <w:szCs w:val="32"/>
                <w:u w:val="none"/>
              </w:rPr>
              <w:t>in International</w:t>
            </w:r>
            <w:r>
              <w:rPr>
                <w:rStyle w:val="Hyperlink"/>
                <w:rFonts w:ascii="Arial" w:hAnsi="Arial" w:cs="Arial"/>
                <w:b/>
                <w:bCs/>
                <w:color w:val="524B48"/>
                <w:sz w:val="32"/>
                <w:szCs w:val="32"/>
                <w:u w:val="none"/>
              </w:rPr>
              <w:br/>
            </w:r>
            <w:r w:rsidRPr="000E4DAA">
              <w:rPr>
                <w:rStyle w:val="Hyperlink"/>
                <w:rFonts w:ascii="Arial" w:hAnsi="Arial" w:cs="Arial"/>
                <w:b/>
                <w:bCs/>
                <w:color w:val="524B48"/>
                <w:sz w:val="32"/>
                <w:szCs w:val="32"/>
                <w:u w:val="none"/>
              </w:rPr>
              <w:t>Commercial Contract</w:t>
            </w:r>
            <w:r w:rsidRPr="00300FF7">
              <w:rPr>
                <w:rStyle w:val="Hyperlink"/>
                <w:rFonts w:ascii="Arial" w:hAnsi="Arial" w:cs="Arial"/>
                <w:b/>
                <w:bCs/>
                <w:color w:val="524B48"/>
                <w:sz w:val="32"/>
                <w:szCs w:val="32"/>
                <w:u w:val="none"/>
              </w:rPr>
              <w:t>s</w:t>
            </w:r>
          </w:p>
          <w:p w14:paraId="304F50DD" w14:textId="77777777" w:rsidR="00F00701" w:rsidRPr="00C65AFD" w:rsidRDefault="00F00701" w:rsidP="00186F0E">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6DDDE85B" w14:textId="77777777" w:rsidR="00F00701" w:rsidRPr="00C65AFD" w:rsidRDefault="00F00701" w:rsidP="00186F0E">
            <w:pPr>
              <w:jc w:val="center"/>
              <w:rPr>
                <w:rFonts w:ascii="Arial" w:hAnsi="Arial" w:cs="Arial"/>
                <w:i/>
                <w:color w:val="6C6361"/>
                <w:sz w:val="24"/>
                <w:szCs w:val="24"/>
              </w:rPr>
            </w:pPr>
            <w:r w:rsidRPr="00C65AFD">
              <w:rPr>
                <w:rFonts w:ascii="Arial" w:hAnsi="Arial" w:cs="Arial"/>
                <w:i/>
                <w:color w:val="6C6361"/>
                <w:sz w:val="24"/>
                <w:szCs w:val="24"/>
              </w:rPr>
              <w:t>by</w:t>
            </w:r>
          </w:p>
          <w:p w14:paraId="7527D322" w14:textId="77777777" w:rsidR="00F00701" w:rsidRDefault="00F00701" w:rsidP="00186F0E">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 xml:space="preserve">Prof. Julien </w:t>
              </w:r>
              <w:proofErr w:type="spellStart"/>
              <w:r>
                <w:rPr>
                  <w:rStyle w:val="Hyperlink"/>
                  <w:rFonts w:ascii="Arial" w:hAnsi="Arial" w:cs="Arial"/>
                  <w:color w:val="6C6361"/>
                  <w:sz w:val="24"/>
                  <w:szCs w:val="24"/>
                  <w:u w:val="none"/>
                </w:rPr>
                <w:t>Chaisse</w:t>
              </w:r>
              <w:proofErr w:type="spellEnd"/>
            </w:hyperlink>
            <w:r>
              <w:rPr>
                <w:rFonts w:ascii="Arial" w:hAnsi="Arial" w:cs="Arial"/>
                <w:color w:val="6C6361"/>
                <w:sz w:val="24"/>
                <w:szCs w:val="24"/>
              </w:rPr>
              <w:t>,</w:t>
            </w:r>
          </w:p>
          <w:p w14:paraId="13DBA4BC" w14:textId="77777777" w:rsidR="00F00701" w:rsidRPr="0051550E" w:rsidRDefault="00F00701" w:rsidP="00186F0E">
            <w:pPr>
              <w:jc w:val="center"/>
              <w:rPr>
                <w:rFonts w:ascii="Arial" w:hAnsi="Arial" w:cs="Arial"/>
                <w:color w:val="6C6361"/>
                <w:sz w:val="24"/>
                <w:szCs w:val="24"/>
              </w:rPr>
            </w:pPr>
            <w:r w:rsidRPr="0051550E">
              <w:rPr>
                <w:rFonts w:ascii="Arial" w:hAnsi="Arial" w:cs="Arial"/>
                <w:color w:val="6C6361"/>
                <w:sz w:val="24"/>
                <w:szCs w:val="24"/>
              </w:rPr>
              <w:t>Professor,</w:t>
            </w:r>
          </w:p>
          <w:p w14:paraId="6C4B6AA1" w14:textId="77777777" w:rsidR="00F00701" w:rsidRDefault="00F00701" w:rsidP="00186F0E">
            <w:pPr>
              <w:jc w:val="center"/>
              <w:rPr>
                <w:rFonts w:ascii="Arial" w:hAnsi="Arial" w:cs="Arial"/>
                <w:color w:val="6C6361"/>
                <w:sz w:val="24"/>
                <w:szCs w:val="24"/>
              </w:rPr>
            </w:pPr>
            <w:r>
              <w:rPr>
                <w:rFonts w:ascii="Arial" w:hAnsi="Arial" w:cs="Arial"/>
                <w:color w:val="6C6361"/>
                <w:sz w:val="24"/>
                <w:szCs w:val="24"/>
              </w:rPr>
              <w:t>City</w:t>
            </w:r>
            <w:r w:rsidRPr="0051550E">
              <w:rPr>
                <w:rFonts w:ascii="Arial" w:hAnsi="Arial" w:cs="Arial"/>
                <w:color w:val="6C6361"/>
                <w:sz w:val="24"/>
                <w:szCs w:val="24"/>
              </w:rPr>
              <w:t xml:space="preserve"> University of Hong Kong</w:t>
            </w:r>
          </w:p>
          <w:p w14:paraId="24469462" w14:textId="77777777" w:rsidR="00F00701" w:rsidRPr="00D87ECF" w:rsidRDefault="00F00701" w:rsidP="00186F0E">
            <w:pPr>
              <w:jc w:val="center"/>
              <w:rPr>
                <w:rFonts w:ascii="Arial" w:hAnsi="Arial" w:cs="Arial"/>
                <w:color w:val="6C6361"/>
                <w:sz w:val="8"/>
                <w:szCs w:val="8"/>
              </w:rPr>
            </w:pPr>
          </w:p>
        </w:tc>
        <w:tc>
          <w:tcPr>
            <w:tcW w:w="5954" w:type="dxa"/>
            <w:shd w:val="clear" w:color="auto" w:fill="FFFFFF"/>
            <w:vAlign w:val="center"/>
          </w:tcPr>
          <w:p w14:paraId="42B72AAD" w14:textId="77777777" w:rsidR="00F00701" w:rsidRPr="00D50772" w:rsidRDefault="00F00701" w:rsidP="00186F0E">
            <w:pPr>
              <w:spacing w:line="276" w:lineRule="auto"/>
              <w:jc w:val="center"/>
              <w:rPr>
                <w:rFonts w:ascii="Arial" w:eastAsia="Times New Roman" w:hAnsi="Arial" w:cs="Arial"/>
                <w:noProof/>
                <w:sz w:val="20"/>
                <w:szCs w:val="20"/>
              </w:rPr>
            </w:pPr>
            <w:r>
              <w:rPr>
                <w:noProof/>
              </w:rPr>
              <w:drawing>
                <wp:anchor distT="0" distB="0" distL="114300" distR="114300" simplePos="0" relativeHeight="251659264" behindDoc="0" locked="0" layoutInCell="1" allowOverlap="1" wp14:anchorId="71069BD4" wp14:editId="2594FA38">
                  <wp:simplePos x="0" y="0"/>
                  <wp:positionH relativeFrom="column">
                    <wp:posOffset>3170555</wp:posOffset>
                  </wp:positionH>
                  <wp:positionV relativeFrom="paragraph">
                    <wp:posOffset>-475615</wp:posOffset>
                  </wp:positionV>
                  <wp:extent cx="539750" cy="539750"/>
                  <wp:effectExtent l="0" t="0" r="6350" b="6350"/>
                  <wp:wrapNone/>
                  <wp:docPr id="4" name="Graphic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F5006E4" wp14:editId="1C253CC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289BDA55" w14:textId="77777777" w:rsidR="00F00701" w:rsidRPr="00B758DB" w:rsidRDefault="00F00701" w:rsidP="00F00701">
      <w:pPr>
        <w:spacing w:line="276" w:lineRule="auto"/>
        <w:jc w:val="left"/>
        <w:rPr>
          <w:rFonts w:ascii="Arial" w:hAnsi="Arial" w:cs="Arial"/>
          <w:sz w:val="20"/>
          <w:szCs w:val="28"/>
        </w:rPr>
      </w:pPr>
    </w:p>
    <w:tbl>
      <w:tblPr>
        <w:tblW w:w="10773" w:type="dxa"/>
        <w:jc w:val="center"/>
        <w:tblLook w:val="04A0" w:firstRow="1" w:lastRow="0" w:firstColumn="1" w:lastColumn="0" w:noHBand="0" w:noVBand="1"/>
      </w:tblPr>
      <w:tblGrid>
        <w:gridCol w:w="1985"/>
        <w:gridCol w:w="8788"/>
      </w:tblGrid>
      <w:tr w:rsidR="00F00701" w:rsidRPr="0081526A" w14:paraId="51F0CBA0" w14:textId="77777777" w:rsidTr="00186F0E">
        <w:trPr>
          <w:trHeight w:val="9182"/>
          <w:jc w:val="center"/>
        </w:trPr>
        <w:tc>
          <w:tcPr>
            <w:tcW w:w="1985" w:type="dxa"/>
            <w:shd w:val="clear" w:color="auto" w:fill="FFFFFF"/>
            <w:vAlign w:val="center"/>
          </w:tcPr>
          <w:p w14:paraId="7E13A8B8" w14:textId="77777777" w:rsidR="00F00701" w:rsidRPr="0081526A" w:rsidRDefault="00F00701" w:rsidP="00F00701">
            <w:pPr>
              <w:spacing w:line="276" w:lineRule="auto"/>
              <w:jc w:val="center"/>
              <w:rPr>
                <w:rFonts w:ascii="Arial" w:hAnsi="Arial" w:cs="Arial"/>
                <w:sz w:val="20"/>
                <w:szCs w:val="20"/>
              </w:rPr>
            </w:pPr>
            <w:r w:rsidRPr="0081526A">
              <w:rPr>
                <w:rFonts w:ascii="Arial" w:hAnsi="Arial" w:cs="Arial"/>
                <w:noProof/>
                <w:sz w:val="20"/>
                <w:szCs w:val="20"/>
              </w:rPr>
              <w:drawing>
                <wp:inline distT="0" distB="0" distL="0" distR="0" wp14:anchorId="5B99AA55" wp14:editId="31286B60">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533CA3BD" w14:textId="77777777" w:rsidR="00F00701" w:rsidRPr="0081526A" w:rsidRDefault="00F00701" w:rsidP="00F00701">
            <w:pPr>
              <w:pStyle w:val="NormalWeb"/>
              <w:spacing w:before="0" w:beforeAutospacing="0" w:after="0" w:afterAutospacing="0"/>
              <w:jc w:val="both"/>
              <w:rPr>
                <w:rFonts w:ascii="Arial" w:hAnsi="Arial" w:cs="Arial"/>
                <w:color w:val="6C6361"/>
                <w:sz w:val="20"/>
                <w:szCs w:val="20"/>
              </w:rPr>
            </w:pPr>
            <w:r w:rsidRPr="0081526A">
              <w:rPr>
                <w:rFonts w:ascii="Arial" w:hAnsi="Arial" w:cs="Arial"/>
                <w:color w:val="6C6361"/>
                <w:sz w:val="20"/>
                <w:szCs w:val="20"/>
              </w:rPr>
              <w:t xml:space="preserve">Dr. Julien </w:t>
            </w:r>
            <w:proofErr w:type="spellStart"/>
            <w:r w:rsidRPr="0081526A">
              <w:rPr>
                <w:rFonts w:ascii="Arial" w:hAnsi="Arial" w:cs="Arial"/>
                <w:color w:val="6C6361"/>
                <w:sz w:val="20"/>
                <w:szCs w:val="20"/>
              </w:rPr>
              <w:t>Chaisse</w:t>
            </w:r>
            <w:proofErr w:type="spellEnd"/>
            <w:r w:rsidRPr="0081526A">
              <w:rPr>
                <w:rFonts w:ascii="Arial" w:hAnsi="Arial" w:cs="Arial"/>
                <w:color w:val="6C6361"/>
                <w:sz w:val="20"/>
                <w:szCs w:val="20"/>
              </w:rPr>
              <w:t xml:space="preserve"> currently serves as professor at the City University of Hong Kong (</w:t>
            </w:r>
            <w:proofErr w:type="spellStart"/>
            <w:r w:rsidRPr="0081526A">
              <w:rPr>
                <w:rFonts w:ascii="Arial" w:hAnsi="Arial" w:cs="Arial"/>
                <w:color w:val="6C6361"/>
                <w:sz w:val="20"/>
                <w:szCs w:val="20"/>
              </w:rPr>
              <w:t>CityU</w:t>
            </w:r>
            <w:proofErr w:type="spellEnd"/>
            <w:r w:rsidRPr="0081526A">
              <w:rPr>
                <w:rFonts w:ascii="Arial" w:hAnsi="Arial" w:cs="Arial"/>
                <w:color w:val="6C6361"/>
                <w:sz w:val="20"/>
                <w:szCs w:val="20"/>
              </w:rPr>
              <w:t>), School of Law.  He is an award-winning and world-renowned expert on international economic law (trade, investment, and tax), cyberlaw, and international dispute resolution.  His work has garnered wide academic recognition and has been cited by international courts/tribunals as well as the U.S. Courts.  He is the awardee of the Humanities and Social Sciences Prestigious Fellowship (2021) and the recipient of the Smit-</w:t>
            </w:r>
            <w:proofErr w:type="spellStart"/>
            <w:r w:rsidRPr="0081526A">
              <w:rPr>
                <w:rFonts w:ascii="Arial" w:hAnsi="Arial" w:cs="Arial"/>
                <w:color w:val="6C6361"/>
                <w:sz w:val="20"/>
                <w:szCs w:val="20"/>
              </w:rPr>
              <w:t>Lowenfeld</w:t>
            </w:r>
            <w:proofErr w:type="spellEnd"/>
            <w:r w:rsidRPr="0081526A">
              <w:rPr>
                <w:rFonts w:ascii="Arial" w:hAnsi="Arial" w:cs="Arial"/>
                <w:color w:val="6C6361"/>
                <w:sz w:val="20"/>
                <w:szCs w:val="20"/>
              </w:rPr>
              <w:t xml:space="preserve"> Prize from the International Arbitration Club of New York (2020).  He also sits on the editorial boards of several high impact academic journals, and serves as Editor-in-Chief of the Asia Pacific Law Review.</w:t>
            </w:r>
          </w:p>
          <w:p w14:paraId="58625E1A" w14:textId="77777777" w:rsidR="00F00701" w:rsidRPr="0081526A" w:rsidRDefault="00F00701" w:rsidP="00F00701">
            <w:pPr>
              <w:pStyle w:val="NormalWeb"/>
              <w:spacing w:before="0" w:beforeAutospacing="0" w:after="0" w:afterAutospacing="0"/>
              <w:jc w:val="both"/>
              <w:rPr>
                <w:rFonts w:ascii="Arial" w:hAnsi="Arial" w:cs="Arial"/>
                <w:color w:val="6C6361"/>
                <w:sz w:val="10"/>
                <w:szCs w:val="10"/>
              </w:rPr>
            </w:pPr>
          </w:p>
          <w:p w14:paraId="50C1007C" w14:textId="77777777" w:rsidR="00F00701" w:rsidRPr="0081526A" w:rsidRDefault="00F00701" w:rsidP="00F00701">
            <w:pPr>
              <w:pStyle w:val="NormalWeb"/>
              <w:spacing w:before="0" w:beforeAutospacing="0" w:after="0" w:afterAutospacing="0"/>
              <w:jc w:val="both"/>
              <w:rPr>
                <w:rFonts w:ascii="Arial" w:hAnsi="Arial" w:cs="Arial"/>
                <w:color w:val="6C6361"/>
                <w:sz w:val="20"/>
                <w:szCs w:val="20"/>
              </w:rPr>
            </w:pPr>
            <w:r w:rsidRPr="0081526A">
              <w:rPr>
                <w:rFonts w:ascii="Arial" w:hAnsi="Arial" w:cs="Arial"/>
                <w:color w:val="6C6361"/>
                <w:sz w:val="20"/>
                <w:szCs w:val="20"/>
              </w:rPr>
              <w:t xml:space="preserve">Dr. </w:t>
            </w:r>
            <w:proofErr w:type="spellStart"/>
            <w:r w:rsidRPr="0081526A">
              <w:rPr>
                <w:rFonts w:ascii="Arial" w:hAnsi="Arial" w:cs="Arial"/>
                <w:color w:val="6C6361"/>
                <w:sz w:val="20"/>
                <w:szCs w:val="20"/>
              </w:rPr>
              <w:t>Chaisse</w:t>
            </w:r>
            <w:proofErr w:type="spellEnd"/>
            <w:r w:rsidRPr="0081526A">
              <w:rPr>
                <w:rFonts w:ascii="Arial" w:hAnsi="Arial" w:cs="Arial"/>
                <w:color w:val="6C6361"/>
                <w:sz w:val="20"/>
                <w:szCs w:val="20"/>
              </w:rPr>
              <w:t xml:space="preserve"> is an accomplished senior arbitrator.  Numbers of his adjudications have been reported by local and international press.  He is frequently called upon as an expert witness in international trade/investment litigation and arbitration, to advise international organizations, governments, law firms, and private investors on private/public international law issues (e.g., concessions contracts, special economic zones, investment structuring, state and international organization immunities, and WTO accession), and he has assisted over twenty jurisdictions in drafting trade/investment treaties and legislation.</w:t>
            </w:r>
          </w:p>
          <w:p w14:paraId="173C6440" w14:textId="77777777" w:rsidR="00F00701" w:rsidRPr="0081526A" w:rsidRDefault="00F00701" w:rsidP="00F00701">
            <w:pPr>
              <w:pStyle w:val="NormalWeb"/>
              <w:spacing w:before="0" w:beforeAutospacing="0" w:after="0" w:afterAutospacing="0"/>
              <w:jc w:val="both"/>
              <w:rPr>
                <w:rFonts w:ascii="Arial" w:hAnsi="Arial" w:cs="Arial"/>
                <w:color w:val="6C6361"/>
                <w:sz w:val="10"/>
                <w:szCs w:val="10"/>
              </w:rPr>
            </w:pPr>
          </w:p>
          <w:p w14:paraId="02DE9E81" w14:textId="77777777" w:rsidR="00F00701" w:rsidRPr="0081526A" w:rsidRDefault="00F00701" w:rsidP="00F00701">
            <w:pPr>
              <w:pStyle w:val="NormalWeb"/>
              <w:spacing w:before="0" w:beforeAutospacing="0" w:after="0" w:afterAutospacing="0"/>
              <w:jc w:val="both"/>
              <w:rPr>
                <w:rFonts w:ascii="Arial" w:hAnsi="Arial" w:cs="Arial"/>
                <w:color w:val="6C6361"/>
                <w:sz w:val="20"/>
                <w:szCs w:val="20"/>
              </w:rPr>
            </w:pPr>
            <w:r w:rsidRPr="0081526A">
              <w:rPr>
                <w:rFonts w:ascii="Arial" w:hAnsi="Arial" w:cs="Arial"/>
                <w:color w:val="6C6361"/>
                <w:sz w:val="20"/>
                <w:szCs w:val="20"/>
              </w:rPr>
              <w:t xml:space="preserve">Dr. </w:t>
            </w:r>
            <w:proofErr w:type="spellStart"/>
            <w:r w:rsidRPr="0081526A">
              <w:rPr>
                <w:rFonts w:ascii="Arial" w:hAnsi="Arial" w:cs="Arial"/>
                <w:color w:val="6C6361"/>
                <w:sz w:val="20"/>
                <w:szCs w:val="20"/>
              </w:rPr>
              <w:t>Chaisse</w:t>
            </w:r>
            <w:proofErr w:type="spellEnd"/>
            <w:r w:rsidRPr="0081526A">
              <w:rPr>
                <w:rFonts w:ascii="Arial" w:hAnsi="Arial" w:cs="Arial"/>
                <w:color w:val="6C6361"/>
                <w:sz w:val="20"/>
                <w:szCs w:val="20"/>
              </w:rPr>
              <w:t xml:space="preserve"> is currently President and Chair of the Asia Pacific FDI Network (APFN), which is the most important organization in the region that focuses on researching foreign direct investment and facilitating cooperation among over 100 scholars and 50 institutions.  He has extensive experience working as a corporate board member, and serving on the board of directors/advisory board for a number of international organizations, including the World Free Zone Convention (WFZC), the Academy of International Dispute Resolution &amp; Professional Negotiation (AIDRN), the National Institute of Malaysian and International Studies (IKMAS), and the Asian Academy of International Law (AAIL).  In addition, Dr. </w:t>
            </w:r>
            <w:proofErr w:type="spellStart"/>
            <w:r w:rsidRPr="0081526A">
              <w:rPr>
                <w:rFonts w:ascii="Arial" w:hAnsi="Arial" w:cs="Arial"/>
                <w:color w:val="6C6361"/>
                <w:sz w:val="20"/>
                <w:szCs w:val="20"/>
              </w:rPr>
              <w:t>Chaisse</w:t>
            </w:r>
            <w:proofErr w:type="spellEnd"/>
            <w:r w:rsidRPr="0081526A">
              <w:rPr>
                <w:rFonts w:ascii="Arial" w:hAnsi="Arial" w:cs="Arial"/>
                <w:color w:val="6C6361"/>
                <w:sz w:val="20"/>
                <w:szCs w:val="20"/>
              </w:rPr>
              <w:t xml:space="preserve"> is an active member of the World Economic Forum (“Tax and Globalization Working Group” and “Data Policy Platform”), a member of the Hong Kong’s Government Board of Review (Inland Revenue Ordinance), an advisor and partner to the United Nations ARTNET on FDI, and a member of the Academic Forum on Investor-state Dispute Settlement.  He also serves as Director of the Dot Trademark Policy Committee (DTPC), a co-founder of the Internet Intellectual Property Institute (IIPI), and is a member of the ICANN’s Working Group, which produced the Report of the Review of All Rights Protection Mechanisms in All gTLDs, among other highly-regarded white papers.</w:t>
            </w:r>
          </w:p>
          <w:p w14:paraId="317377A2" w14:textId="77777777" w:rsidR="00F00701" w:rsidRPr="0081526A" w:rsidRDefault="00F00701" w:rsidP="00F00701">
            <w:pPr>
              <w:pStyle w:val="NormalWeb"/>
              <w:spacing w:before="0" w:beforeAutospacing="0" w:after="0" w:afterAutospacing="0"/>
              <w:jc w:val="both"/>
              <w:rPr>
                <w:rFonts w:ascii="Arial" w:hAnsi="Arial" w:cs="Arial"/>
                <w:color w:val="6C6361"/>
                <w:sz w:val="10"/>
                <w:szCs w:val="10"/>
              </w:rPr>
            </w:pPr>
          </w:p>
          <w:p w14:paraId="35C1413F" w14:textId="77777777" w:rsidR="00F00701" w:rsidRPr="0081526A" w:rsidRDefault="00F00701" w:rsidP="00F00701">
            <w:pPr>
              <w:pStyle w:val="NormalWeb"/>
              <w:spacing w:before="0" w:beforeAutospacing="0" w:after="0" w:afterAutospacing="0"/>
              <w:jc w:val="both"/>
              <w:rPr>
                <w:rFonts w:ascii="Arial" w:hAnsi="Arial" w:cs="Arial"/>
                <w:color w:val="6C6361"/>
                <w:sz w:val="20"/>
                <w:szCs w:val="20"/>
              </w:rPr>
            </w:pPr>
            <w:r w:rsidRPr="0081526A">
              <w:rPr>
                <w:rFonts w:ascii="Arial" w:hAnsi="Arial" w:cs="Arial"/>
                <w:color w:val="6C6361"/>
                <w:sz w:val="20"/>
                <w:szCs w:val="20"/>
              </w:rPr>
              <w:t xml:space="preserve">Prior to joining </w:t>
            </w:r>
            <w:proofErr w:type="spellStart"/>
            <w:r w:rsidRPr="0081526A">
              <w:rPr>
                <w:rFonts w:ascii="Arial" w:hAnsi="Arial" w:cs="Arial"/>
                <w:color w:val="6C6361"/>
                <w:sz w:val="20"/>
                <w:szCs w:val="20"/>
              </w:rPr>
              <w:t>CityU</w:t>
            </w:r>
            <w:proofErr w:type="spellEnd"/>
            <w:r w:rsidRPr="0081526A">
              <w:rPr>
                <w:rFonts w:ascii="Arial" w:hAnsi="Arial" w:cs="Arial"/>
                <w:color w:val="6C6361"/>
                <w:sz w:val="20"/>
                <w:szCs w:val="20"/>
              </w:rPr>
              <w:t xml:space="preserve"> Law School, Dr. </w:t>
            </w:r>
            <w:proofErr w:type="spellStart"/>
            <w:r w:rsidRPr="0081526A">
              <w:rPr>
                <w:rFonts w:ascii="Arial" w:hAnsi="Arial" w:cs="Arial"/>
                <w:color w:val="6C6361"/>
                <w:sz w:val="20"/>
                <w:szCs w:val="20"/>
              </w:rPr>
              <w:t>Chaisse</w:t>
            </w:r>
            <w:proofErr w:type="spellEnd"/>
            <w:r w:rsidRPr="0081526A">
              <w:rPr>
                <w:rFonts w:ascii="Arial" w:hAnsi="Arial" w:cs="Arial"/>
                <w:color w:val="6C6361"/>
                <w:sz w:val="20"/>
                <w:szCs w:val="20"/>
              </w:rPr>
              <w:t xml:space="preserve"> taught at the Chinese University of Hong Kong, Faculty of Law (2009-2019) where he served as Director of one the </w:t>
            </w:r>
            <w:proofErr w:type="gramStart"/>
            <w:r w:rsidRPr="0081526A">
              <w:rPr>
                <w:rFonts w:ascii="Arial" w:hAnsi="Arial" w:cs="Arial"/>
                <w:color w:val="6C6361"/>
                <w:sz w:val="20"/>
                <w:szCs w:val="20"/>
              </w:rPr>
              <w:t>Faculty’s</w:t>
            </w:r>
            <w:proofErr w:type="gramEnd"/>
            <w:r w:rsidRPr="0081526A">
              <w:rPr>
                <w:rFonts w:ascii="Arial" w:hAnsi="Arial" w:cs="Arial"/>
                <w:color w:val="6C6361"/>
                <w:sz w:val="20"/>
                <w:szCs w:val="20"/>
              </w:rPr>
              <w:t xml:space="preserve"> research </w:t>
            </w:r>
            <w:proofErr w:type="spellStart"/>
            <w:r w:rsidRPr="0081526A">
              <w:rPr>
                <w:rFonts w:ascii="Arial" w:hAnsi="Arial" w:cs="Arial"/>
                <w:color w:val="6C6361"/>
                <w:sz w:val="20"/>
                <w:szCs w:val="20"/>
              </w:rPr>
              <w:t>centres</w:t>
            </w:r>
            <w:proofErr w:type="spellEnd"/>
            <w:r w:rsidRPr="0081526A">
              <w:rPr>
                <w:rFonts w:ascii="Arial" w:hAnsi="Arial" w:cs="Arial"/>
                <w:color w:val="6C6361"/>
                <w:sz w:val="20"/>
                <w:szCs w:val="20"/>
              </w:rPr>
              <w:t xml:space="preserve"> as well as Director of PhD &amp; MPhil Program.  Before moving to Hong Kong, he worked as deputy head of the working group on the rules and regulations for multilateral trade and investment agreements at the World Trade Institute in Bern, Switzerland (2006-2009), as a lecturer at Elite School Sciences Po Aix in France (2004-2006), and as a diplomat for the Ministry of Foreign Affairs of France at the French Embassy in New Delhi, India (2001-2004).</w:t>
            </w:r>
          </w:p>
        </w:tc>
      </w:tr>
    </w:tbl>
    <w:p w14:paraId="1DC0ACBE" w14:textId="77777777" w:rsidR="00F00701" w:rsidRPr="00F00701" w:rsidRDefault="00F00701" w:rsidP="00F00701">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F00701" w:rsidRPr="00390282" w14:paraId="066F9633" w14:textId="77777777" w:rsidTr="00186F0E">
        <w:trPr>
          <w:trHeight w:val="397"/>
          <w:jc w:val="center"/>
        </w:trPr>
        <w:tc>
          <w:tcPr>
            <w:tcW w:w="10773" w:type="dxa"/>
            <w:tcBorders>
              <w:top w:val="nil"/>
              <w:bottom w:val="nil"/>
            </w:tcBorders>
            <w:shd w:val="clear" w:color="auto" w:fill="F0EBE1"/>
            <w:vAlign w:val="center"/>
          </w:tcPr>
          <w:p w14:paraId="03AFB2EB" w14:textId="77777777" w:rsidR="00F00701" w:rsidRPr="00012F69" w:rsidRDefault="00F00701" w:rsidP="00186F0E">
            <w:pPr>
              <w:jc w:val="center"/>
              <w:rPr>
                <w:rFonts w:ascii="Arial" w:hAnsi="Arial" w:cs="Arial"/>
                <w:b/>
                <w:color w:val="524B48"/>
                <w:szCs w:val="24"/>
              </w:rPr>
            </w:pPr>
            <w:r w:rsidRPr="00012F69">
              <w:rPr>
                <w:rFonts w:ascii="Arial" w:hAnsi="Arial" w:cs="Arial"/>
                <w:b/>
                <w:color w:val="524B48"/>
                <w:szCs w:val="24"/>
              </w:rPr>
              <w:lastRenderedPageBreak/>
              <w:t>Course Objective:</w:t>
            </w:r>
          </w:p>
        </w:tc>
      </w:tr>
      <w:tr w:rsidR="00F00701" w:rsidRPr="00390282" w14:paraId="1D3F5E81" w14:textId="77777777" w:rsidTr="00186F0E">
        <w:trPr>
          <w:trHeight w:val="3421"/>
          <w:jc w:val="center"/>
        </w:trPr>
        <w:tc>
          <w:tcPr>
            <w:tcW w:w="10773" w:type="dxa"/>
            <w:tcBorders>
              <w:top w:val="nil"/>
              <w:bottom w:val="nil"/>
            </w:tcBorders>
            <w:shd w:val="clear" w:color="auto" w:fill="FFFFFF"/>
            <w:vAlign w:val="center"/>
          </w:tcPr>
          <w:p w14:paraId="01E1D82E" w14:textId="77777777" w:rsidR="00F00701" w:rsidRDefault="00F00701" w:rsidP="00186F0E">
            <w:pPr>
              <w:rPr>
                <w:rFonts w:ascii="Arial" w:hAnsi="Arial" w:cs="Arial"/>
                <w:color w:val="6C6361"/>
                <w:sz w:val="24"/>
                <w:szCs w:val="24"/>
              </w:rPr>
            </w:pPr>
            <w:r w:rsidRPr="0081526A">
              <w:rPr>
                <w:rFonts w:ascii="Arial" w:hAnsi="Arial" w:cs="Arial"/>
                <w:color w:val="6C6361"/>
                <w:sz w:val="24"/>
                <w:szCs w:val="24"/>
              </w:rPr>
              <w:t xml:space="preserve">The aim of this course is to provide an intensive introduction to the theory and principles of contract law and its practical application in the commercial context. </w:t>
            </w:r>
            <w:r>
              <w:rPr>
                <w:rFonts w:ascii="Arial" w:hAnsi="Arial" w:cs="Arial"/>
                <w:color w:val="6C6361"/>
                <w:sz w:val="24"/>
                <w:szCs w:val="24"/>
              </w:rPr>
              <w:t xml:space="preserve"> </w:t>
            </w:r>
            <w:r w:rsidRPr="0081526A">
              <w:rPr>
                <w:rFonts w:ascii="Arial" w:hAnsi="Arial" w:cs="Arial"/>
                <w:color w:val="6C6361"/>
                <w:sz w:val="24"/>
                <w:szCs w:val="24"/>
              </w:rPr>
              <w:t>If parties wish to be absolutely sure about the applicable law, they should expressly agree upon this issue through a choice of law clause.</w:t>
            </w:r>
            <w:r>
              <w:rPr>
                <w:rFonts w:ascii="Arial" w:hAnsi="Arial" w:cs="Arial"/>
                <w:color w:val="6C6361"/>
                <w:sz w:val="24"/>
                <w:szCs w:val="24"/>
              </w:rPr>
              <w:t xml:space="preserve">                   </w:t>
            </w:r>
            <w:r w:rsidRPr="0081526A">
              <w:rPr>
                <w:rFonts w:ascii="Arial" w:hAnsi="Arial" w:cs="Arial"/>
                <w:color w:val="6C6361"/>
                <w:sz w:val="24"/>
                <w:szCs w:val="24"/>
              </w:rPr>
              <w:t>However, the Choice of the Governing Law is a complex choice among many options. Logically (and practically), the choice of law should be made by parties in order to ensure effectiveness.</w:t>
            </w:r>
            <w:r>
              <w:rPr>
                <w:rFonts w:ascii="Arial" w:hAnsi="Arial" w:cs="Arial"/>
                <w:color w:val="6C6361"/>
                <w:sz w:val="24"/>
                <w:szCs w:val="24"/>
              </w:rPr>
              <w:t xml:space="preserve">                    </w:t>
            </w:r>
            <w:r w:rsidRPr="0081526A">
              <w:rPr>
                <w:rFonts w:ascii="Arial" w:hAnsi="Arial" w:cs="Arial"/>
                <w:color w:val="6C6361"/>
                <w:sz w:val="24"/>
                <w:szCs w:val="24"/>
              </w:rPr>
              <w:t>Effectiveness may suggest reliance on domestic law but</w:t>
            </w:r>
            <w:r w:rsidRPr="0081526A">
              <w:rPr>
                <w:rFonts w:ascii="Arial" w:hAnsi="Arial" w:cs="Arial"/>
                <w:i/>
                <w:iCs/>
                <w:color w:val="6C6361"/>
                <w:sz w:val="24"/>
                <w:szCs w:val="24"/>
              </w:rPr>
              <w:t xml:space="preserve"> </w:t>
            </w:r>
            <w:r w:rsidRPr="0081526A">
              <w:rPr>
                <w:rFonts w:ascii="Arial" w:hAnsi="Arial" w:cs="Arial"/>
                <w:color w:val="6C6361"/>
                <w:sz w:val="24"/>
                <w:szCs w:val="24"/>
              </w:rPr>
              <w:t>cannot exclude</w:t>
            </w:r>
            <w:r w:rsidRPr="0081526A">
              <w:rPr>
                <w:rFonts w:ascii="Arial" w:hAnsi="Arial" w:cs="Arial"/>
                <w:i/>
                <w:iCs/>
                <w:color w:val="6C6361"/>
                <w:sz w:val="24"/>
                <w:szCs w:val="24"/>
              </w:rPr>
              <w:t xml:space="preserve"> Lex </w:t>
            </w:r>
            <w:proofErr w:type="spellStart"/>
            <w:r w:rsidRPr="0081526A">
              <w:rPr>
                <w:rFonts w:ascii="Arial" w:hAnsi="Arial" w:cs="Arial"/>
                <w:i/>
                <w:iCs/>
                <w:color w:val="6C6361"/>
                <w:sz w:val="24"/>
                <w:szCs w:val="24"/>
              </w:rPr>
              <w:t>mercatoria</w:t>
            </w:r>
            <w:proofErr w:type="spellEnd"/>
            <w:r w:rsidRPr="0081526A">
              <w:rPr>
                <w:rFonts w:ascii="Arial" w:hAnsi="Arial" w:cs="Arial"/>
                <w:color w:val="6C6361"/>
                <w:sz w:val="24"/>
                <w:szCs w:val="24"/>
              </w:rPr>
              <w:t>/UNIDROIT.</w:t>
            </w:r>
            <w:r>
              <w:rPr>
                <w:rFonts w:ascii="Arial" w:hAnsi="Arial" w:cs="Arial"/>
                <w:color w:val="6C6361"/>
                <w:sz w:val="24"/>
                <w:szCs w:val="24"/>
              </w:rPr>
              <w:t xml:space="preserve">                                                                     </w:t>
            </w:r>
            <w:r w:rsidRPr="0081526A">
              <w:rPr>
                <w:rFonts w:ascii="Arial" w:hAnsi="Arial" w:cs="Arial"/>
                <w:color w:val="6C6361"/>
                <w:sz w:val="24"/>
                <w:szCs w:val="24"/>
              </w:rPr>
              <w:t>In fact, there are many options with pros and cons.</w:t>
            </w:r>
          </w:p>
          <w:p w14:paraId="502F1249" w14:textId="77777777" w:rsidR="00F00701" w:rsidRPr="0081526A" w:rsidRDefault="00F00701" w:rsidP="00186F0E">
            <w:pPr>
              <w:rPr>
                <w:rFonts w:ascii="Arial" w:hAnsi="Arial" w:cs="Arial"/>
                <w:color w:val="6C6361"/>
                <w:sz w:val="12"/>
                <w:szCs w:val="12"/>
              </w:rPr>
            </w:pPr>
          </w:p>
          <w:p w14:paraId="38DD4F7E" w14:textId="77777777" w:rsidR="00F00701" w:rsidRPr="00B758DB" w:rsidRDefault="00F00701" w:rsidP="00186F0E">
            <w:pPr>
              <w:rPr>
                <w:rFonts w:ascii="Arial" w:hAnsi="Arial" w:cs="Arial"/>
                <w:color w:val="6C6361"/>
                <w:sz w:val="24"/>
                <w:szCs w:val="24"/>
              </w:rPr>
            </w:pPr>
            <w:r w:rsidRPr="0081526A">
              <w:rPr>
                <w:rFonts w:ascii="Arial" w:hAnsi="Arial" w:cs="Arial"/>
                <w:color w:val="6C6361"/>
                <w:sz w:val="24"/>
                <w:szCs w:val="24"/>
              </w:rPr>
              <w:t xml:space="preserve">This course reviews the five main options that commercial lawyers have to consider when approaching the choice of the governing law, namely choice of the law of its own country; the choice of the law of the other party; the choice of the law of a third country; the </w:t>
            </w:r>
            <w:r w:rsidRPr="0081526A">
              <w:rPr>
                <w:rFonts w:ascii="Arial" w:hAnsi="Arial" w:cs="Arial"/>
                <w:i/>
                <w:iCs/>
                <w:color w:val="6C6361"/>
                <w:sz w:val="24"/>
                <w:szCs w:val="24"/>
              </w:rPr>
              <w:t xml:space="preserve">Lex </w:t>
            </w:r>
            <w:proofErr w:type="spellStart"/>
            <w:r w:rsidRPr="0081526A">
              <w:rPr>
                <w:rFonts w:ascii="Arial" w:hAnsi="Arial" w:cs="Arial"/>
                <w:i/>
                <w:iCs/>
                <w:color w:val="6C6361"/>
                <w:sz w:val="24"/>
                <w:szCs w:val="24"/>
              </w:rPr>
              <w:t>mercatoria</w:t>
            </w:r>
            <w:proofErr w:type="spellEnd"/>
            <w:r w:rsidRPr="0081526A">
              <w:rPr>
                <w:rFonts w:ascii="Arial" w:hAnsi="Arial" w:cs="Arial"/>
                <w:color w:val="6C6361"/>
                <w:sz w:val="24"/>
                <w:szCs w:val="24"/>
              </w:rPr>
              <w:t xml:space="preserve"> and similar solutions; the last option which not to choose any governing law.</w:t>
            </w:r>
          </w:p>
        </w:tc>
      </w:tr>
    </w:tbl>
    <w:p w14:paraId="23194A84" w14:textId="77777777" w:rsidR="00F00701" w:rsidRPr="00B758DB" w:rsidRDefault="00F00701" w:rsidP="00F00701">
      <w:pPr>
        <w:spacing w:line="276" w:lineRule="auto"/>
        <w:rPr>
          <w:rFonts w:ascii="Arial" w:hAnsi="Arial" w:cs="Arial"/>
          <w:sz w:val="20"/>
          <w:szCs w:val="28"/>
        </w:rPr>
      </w:pPr>
    </w:p>
    <w:tbl>
      <w:tblPr>
        <w:tblW w:w="10773" w:type="dxa"/>
        <w:jc w:val="center"/>
        <w:tblBorders>
          <w:bottom w:val="single" w:sz="12" w:space="0" w:color="FFFFFF"/>
        </w:tblBorders>
        <w:tblLook w:val="04A0" w:firstRow="1" w:lastRow="0" w:firstColumn="1" w:lastColumn="0" w:noHBand="0" w:noVBand="1"/>
      </w:tblPr>
      <w:tblGrid>
        <w:gridCol w:w="8931"/>
        <w:gridCol w:w="1842"/>
      </w:tblGrid>
      <w:tr w:rsidR="00F00701" w:rsidRPr="00B758DB" w14:paraId="3924B113" w14:textId="77777777" w:rsidTr="00186F0E">
        <w:trPr>
          <w:trHeight w:val="397"/>
          <w:jc w:val="center"/>
        </w:trPr>
        <w:tc>
          <w:tcPr>
            <w:tcW w:w="10773" w:type="dxa"/>
            <w:gridSpan w:val="2"/>
            <w:tcBorders>
              <w:top w:val="nil"/>
              <w:bottom w:val="nil"/>
            </w:tcBorders>
            <w:shd w:val="clear" w:color="auto" w:fill="F0EBE1"/>
            <w:vAlign w:val="center"/>
          </w:tcPr>
          <w:p w14:paraId="1C4C60A7" w14:textId="77777777" w:rsidR="00F00701" w:rsidRPr="00B758DB" w:rsidRDefault="00F00701" w:rsidP="00186F0E">
            <w:pPr>
              <w:jc w:val="center"/>
              <w:rPr>
                <w:rFonts w:ascii="Arial" w:hAnsi="Arial" w:cs="Arial"/>
                <w:b/>
                <w:color w:val="524B48"/>
                <w:szCs w:val="24"/>
              </w:rPr>
            </w:pPr>
            <w:r>
              <w:rPr>
                <w:rFonts w:ascii="Arial" w:hAnsi="Arial" w:cs="Arial"/>
                <w:b/>
                <w:color w:val="524B48"/>
                <w:szCs w:val="24"/>
              </w:rPr>
              <w:t>Course Outline:</w:t>
            </w:r>
          </w:p>
        </w:tc>
      </w:tr>
      <w:tr w:rsidR="00F00701" w:rsidRPr="00B758DB" w14:paraId="0DBEEFEA" w14:textId="77777777" w:rsidTr="00186F0E">
        <w:trPr>
          <w:trHeight w:val="2034"/>
          <w:jc w:val="center"/>
        </w:trPr>
        <w:tc>
          <w:tcPr>
            <w:tcW w:w="8931" w:type="dxa"/>
            <w:tcBorders>
              <w:top w:val="nil"/>
              <w:bottom w:val="nil"/>
              <w:right w:val="nil"/>
            </w:tcBorders>
            <w:shd w:val="clear" w:color="auto" w:fill="FFFFFF"/>
            <w:vAlign w:val="center"/>
          </w:tcPr>
          <w:p w14:paraId="4FA9E78A" w14:textId="77777777" w:rsidR="00F00701" w:rsidRPr="0081526A" w:rsidRDefault="00F00701" w:rsidP="00186F0E">
            <w:pPr>
              <w:pStyle w:val="ListParagraph"/>
              <w:numPr>
                <w:ilvl w:val="0"/>
                <w:numId w:val="2"/>
              </w:numPr>
              <w:rPr>
                <w:rFonts w:ascii="Arial" w:hAnsi="Arial" w:cs="Arial"/>
                <w:color w:val="6C6361"/>
                <w:sz w:val="24"/>
                <w:szCs w:val="28"/>
              </w:rPr>
            </w:pPr>
            <w:r w:rsidRPr="0081526A">
              <w:rPr>
                <w:rFonts w:ascii="Arial" w:hAnsi="Arial" w:cs="Arial"/>
                <w:color w:val="6C6361"/>
                <w:sz w:val="24"/>
                <w:szCs w:val="28"/>
              </w:rPr>
              <w:t>Choice of the law of its own country</w:t>
            </w:r>
          </w:p>
          <w:p w14:paraId="44247778" w14:textId="77777777" w:rsidR="00F00701" w:rsidRPr="0081526A" w:rsidRDefault="00F00701" w:rsidP="00186F0E">
            <w:pPr>
              <w:pStyle w:val="ListParagraph"/>
              <w:numPr>
                <w:ilvl w:val="0"/>
                <w:numId w:val="2"/>
              </w:numPr>
              <w:rPr>
                <w:rFonts w:ascii="Arial" w:hAnsi="Arial" w:cs="Arial"/>
                <w:color w:val="6C6361"/>
                <w:sz w:val="24"/>
                <w:szCs w:val="28"/>
              </w:rPr>
            </w:pPr>
            <w:r w:rsidRPr="0081526A">
              <w:rPr>
                <w:rFonts w:ascii="Arial" w:hAnsi="Arial" w:cs="Arial"/>
                <w:color w:val="6C6361"/>
                <w:sz w:val="24"/>
                <w:szCs w:val="28"/>
              </w:rPr>
              <w:t>Choice of the law of the other party</w:t>
            </w:r>
          </w:p>
          <w:p w14:paraId="4608045F" w14:textId="77777777" w:rsidR="00F00701" w:rsidRPr="0081526A" w:rsidRDefault="00F00701" w:rsidP="00186F0E">
            <w:pPr>
              <w:pStyle w:val="ListParagraph"/>
              <w:numPr>
                <w:ilvl w:val="0"/>
                <w:numId w:val="2"/>
              </w:numPr>
              <w:rPr>
                <w:rFonts w:ascii="Arial" w:hAnsi="Arial" w:cs="Arial"/>
                <w:color w:val="6C6361"/>
                <w:sz w:val="24"/>
                <w:szCs w:val="28"/>
              </w:rPr>
            </w:pPr>
            <w:r w:rsidRPr="0081526A">
              <w:rPr>
                <w:rFonts w:ascii="Arial" w:hAnsi="Arial" w:cs="Arial"/>
                <w:color w:val="6C6361"/>
                <w:sz w:val="24"/>
                <w:szCs w:val="28"/>
              </w:rPr>
              <w:t>Choice of the law of a third country</w:t>
            </w:r>
          </w:p>
          <w:p w14:paraId="3C9C78D1" w14:textId="77777777" w:rsidR="00F00701" w:rsidRPr="0081526A" w:rsidRDefault="00F00701" w:rsidP="00186F0E">
            <w:pPr>
              <w:pStyle w:val="ListParagraph"/>
              <w:numPr>
                <w:ilvl w:val="0"/>
                <w:numId w:val="2"/>
              </w:numPr>
              <w:rPr>
                <w:rFonts w:ascii="Arial" w:hAnsi="Arial" w:cs="Arial"/>
                <w:color w:val="6C6361"/>
                <w:sz w:val="24"/>
                <w:szCs w:val="28"/>
              </w:rPr>
            </w:pPr>
            <w:r w:rsidRPr="0081526A">
              <w:rPr>
                <w:rFonts w:ascii="Arial" w:hAnsi="Arial" w:cs="Arial"/>
                <w:i/>
                <w:iCs/>
                <w:color w:val="6C6361"/>
                <w:sz w:val="24"/>
                <w:szCs w:val="28"/>
              </w:rPr>
              <w:t xml:space="preserve">Lex </w:t>
            </w:r>
            <w:proofErr w:type="spellStart"/>
            <w:r w:rsidRPr="0081526A">
              <w:rPr>
                <w:rFonts w:ascii="Arial" w:hAnsi="Arial" w:cs="Arial"/>
                <w:i/>
                <w:iCs/>
                <w:color w:val="6C6361"/>
                <w:sz w:val="24"/>
                <w:szCs w:val="28"/>
              </w:rPr>
              <w:t>mercatoria</w:t>
            </w:r>
            <w:proofErr w:type="spellEnd"/>
            <w:r w:rsidRPr="0081526A">
              <w:rPr>
                <w:rFonts w:ascii="Arial" w:hAnsi="Arial" w:cs="Arial"/>
                <w:color w:val="6C6361"/>
                <w:sz w:val="24"/>
                <w:szCs w:val="28"/>
              </w:rPr>
              <w:t xml:space="preserve"> and similar solutions</w:t>
            </w:r>
          </w:p>
          <w:p w14:paraId="59D3CEA1" w14:textId="77777777" w:rsidR="00F00701" w:rsidRPr="0081526A" w:rsidRDefault="00F00701" w:rsidP="00186F0E">
            <w:pPr>
              <w:pStyle w:val="ListParagraph"/>
              <w:numPr>
                <w:ilvl w:val="0"/>
                <w:numId w:val="2"/>
              </w:numPr>
              <w:rPr>
                <w:rFonts w:ascii="Arial" w:hAnsi="Arial" w:cs="Arial"/>
                <w:color w:val="6C6361"/>
                <w:sz w:val="24"/>
                <w:szCs w:val="28"/>
              </w:rPr>
            </w:pPr>
            <w:r w:rsidRPr="0081526A">
              <w:rPr>
                <w:rFonts w:ascii="Arial" w:hAnsi="Arial" w:cs="Arial"/>
                <w:color w:val="6C6361"/>
                <w:sz w:val="24"/>
                <w:szCs w:val="28"/>
              </w:rPr>
              <w:t>No choice at all</w:t>
            </w:r>
          </w:p>
        </w:tc>
        <w:tc>
          <w:tcPr>
            <w:tcW w:w="1842" w:type="dxa"/>
            <w:tcBorders>
              <w:top w:val="nil"/>
              <w:left w:val="nil"/>
              <w:bottom w:val="nil"/>
            </w:tcBorders>
            <w:shd w:val="clear" w:color="auto" w:fill="FFFFFF"/>
            <w:vAlign w:val="center"/>
          </w:tcPr>
          <w:p w14:paraId="2DAAD520" w14:textId="77777777" w:rsidR="00F00701" w:rsidRPr="0081526A" w:rsidRDefault="00F00701" w:rsidP="00186F0E">
            <w:pPr>
              <w:jc w:val="center"/>
              <w:rPr>
                <w:rFonts w:ascii="Arial" w:hAnsi="Arial" w:cs="Arial"/>
                <w:color w:val="6C6361"/>
                <w:sz w:val="24"/>
                <w:szCs w:val="28"/>
              </w:rPr>
            </w:pPr>
            <w:r>
              <w:rPr>
                <w:noProof/>
              </w:rPr>
              <w:drawing>
                <wp:inline distT="0" distB="0" distL="0" distR="0" wp14:anchorId="76AC1C4F" wp14:editId="43C70C1E">
                  <wp:extent cx="892266" cy="1021079"/>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266" cy="1021079"/>
                          </a:xfrm>
                          <a:prstGeom prst="rect">
                            <a:avLst/>
                          </a:prstGeom>
                        </pic:spPr>
                      </pic:pic>
                    </a:graphicData>
                  </a:graphic>
                </wp:inline>
              </w:drawing>
            </w:r>
          </w:p>
        </w:tc>
      </w:tr>
    </w:tbl>
    <w:p w14:paraId="0F346530" w14:textId="77777777" w:rsidR="00F00701" w:rsidRPr="00B73441" w:rsidRDefault="00F00701" w:rsidP="00334B93">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6"/>
        <w:gridCol w:w="3657"/>
        <w:gridCol w:w="1699"/>
        <w:gridCol w:w="2491"/>
        <w:gridCol w:w="1239"/>
      </w:tblGrid>
      <w:tr w:rsidR="00F00701" w:rsidRPr="00320F79" w14:paraId="3ACD5257" w14:textId="77777777" w:rsidTr="00B73441">
        <w:trPr>
          <w:trHeight w:val="397"/>
          <w:jc w:val="center"/>
        </w:trPr>
        <w:tc>
          <w:tcPr>
            <w:tcW w:w="1686" w:type="dxa"/>
            <w:tcBorders>
              <w:top w:val="nil"/>
              <w:left w:val="nil"/>
              <w:bottom w:val="single" w:sz="12" w:space="0" w:color="FFFFFF"/>
            </w:tcBorders>
            <w:shd w:val="clear" w:color="auto" w:fill="F0EBE1"/>
            <w:vAlign w:val="center"/>
          </w:tcPr>
          <w:p w14:paraId="54FECC0B" w14:textId="4E62B194" w:rsidR="00F00701" w:rsidRPr="00320F79"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57" w:type="dxa"/>
            <w:tcBorders>
              <w:top w:val="nil"/>
              <w:bottom w:val="single" w:sz="12" w:space="0" w:color="F0EBE1"/>
            </w:tcBorders>
            <w:shd w:val="clear" w:color="auto" w:fill="FFFFFF"/>
            <w:vAlign w:val="center"/>
          </w:tcPr>
          <w:p w14:paraId="4DE6A01B" w14:textId="214B0D65" w:rsidR="00F00701" w:rsidRPr="00320F79"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EVT000000393</w:t>
            </w:r>
          </w:p>
        </w:tc>
        <w:tc>
          <w:tcPr>
            <w:tcW w:w="1699" w:type="dxa"/>
            <w:tcBorders>
              <w:top w:val="nil"/>
              <w:bottom w:val="single" w:sz="12" w:space="0" w:color="FFFFFF"/>
            </w:tcBorders>
            <w:shd w:val="clear" w:color="auto" w:fill="F0EBE1"/>
            <w:vAlign w:val="center"/>
          </w:tcPr>
          <w:p w14:paraId="23990B0B" w14:textId="5A4E3EAE" w:rsidR="00F00701" w:rsidRPr="00320F79"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730" w:type="dxa"/>
            <w:gridSpan w:val="2"/>
            <w:tcBorders>
              <w:top w:val="nil"/>
              <w:bottom w:val="single" w:sz="12" w:space="0" w:color="F0EBE1"/>
              <w:right w:val="nil"/>
            </w:tcBorders>
            <w:shd w:val="clear" w:color="auto" w:fill="FFFFFF"/>
            <w:vAlign w:val="center"/>
          </w:tcPr>
          <w:p w14:paraId="414979AA" w14:textId="312A56A1" w:rsidR="00F00701" w:rsidRPr="00320F79"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F00701" w:rsidRPr="00320F79" w14:paraId="71EAEA60" w14:textId="77777777" w:rsidTr="00B73441">
        <w:trPr>
          <w:trHeight w:val="397"/>
          <w:jc w:val="center"/>
        </w:trPr>
        <w:tc>
          <w:tcPr>
            <w:tcW w:w="1686" w:type="dxa"/>
            <w:tcBorders>
              <w:top w:val="single" w:sz="12" w:space="0" w:color="FFFFFF"/>
              <w:left w:val="nil"/>
              <w:bottom w:val="single" w:sz="12" w:space="0" w:color="FFFFFF"/>
            </w:tcBorders>
            <w:shd w:val="clear" w:color="auto" w:fill="F0EBE1"/>
            <w:vAlign w:val="center"/>
          </w:tcPr>
          <w:p w14:paraId="71DC9670" w14:textId="7B4B7594" w:rsidR="00F00701" w:rsidRPr="00320F79"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57" w:type="dxa"/>
            <w:tcBorders>
              <w:top w:val="single" w:sz="12" w:space="0" w:color="F0EBE1"/>
              <w:bottom w:val="single" w:sz="12" w:space="0" w:color="F0EBE1"/>
            </w:tcBorders>
            <w:shd w:val="clear" w:color="auto" w:fill="FFFFFF"/>
            <w:vAlign w:val="center"/>
          </w:tcPr>
          <w:p w14:paraId="7F4FA5F0" w14:textId="77777777" w:rsidR="00F00701"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29 September 2023</w:t>
            </w:r>
            <w:r w:rsidRPr="00012F69">
              <w:rPr>
                <w:rFonts w:ascii="Arial" w:hAnsi="Arial" w:cs="Arial"/>
                <w:b/>
                <w:color w:val="6C6361"/>
                <w:sz w:val="20"/>
                <w:szCs w:val="20"/>
              </w:rPr>
              <w:t xml:space="preserve"> (</w:t>
            </w:r>
            <w:r>
              <w:rPr>
                <w:rFonts w:ascii="Arial" w:hAnsi="Arial" w:cs="Arial"/>
                <w:b/>
                <w:color w:val="6C6361"/>
                <w:sz w:val="20"/>
                <w:szCs w:val="20"/>
              </w:rPr>
              <w:t>Friday</w:t>
            </w:r>
            <w:r w:rsidRPr="00012F69">
              <w:rPr>
                <w:rFonts w:ascii="Arial" w:hAnsi="Arial" w:cs="Arial"/>
                <w:b/>
                <w:color w:val="6C6361"/>
                <w:sz w:val="20"/>
                <w:szCs w:val="20"/>
              </w:rPr>
              <w:t>)</w:t>
            </w:r>
          </w:p>
          <w:p w14:paraId="368447CA" w14:textId="2D9DF368" w:rsidR="00F00701" w:rsidRPr="00320F79"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(Amended)</w:t>
            </w:r>
          </w:p>
        </w:tc>
        <w:tc>
          <w:tcPr>
            <w:tcW w:w="1699" w:type="dxa"/>
            <w:tcBorders>
              <w:top w:val="single" w:sz="12" w:space="0" w:color="FFFFFF"/>
              <w:bottom w:val="single" w:sz="12" w:space="0" w:color="FFFFFF"/>
            </w:tcBorders>
            <w:shd w:val="clear" w:color="auto" w:fill="F0EBE1"/>
            <w:vAlign w:val="center"/>
          </w:tcPr>
          <w:p w14:paraId="0BC2E907" w14:textId="6472650E" w:rsidR="00F00701" w:rsidRPr="00320F79"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730" w:type="dxa"/>
            <w:gridSpan w:val="2"/>
            <w:tcBorders>
              <w:top w:val="single" w:sz="12" w:space="0" w:color="F0EBE1"/>
              <w:bottom w:val="single" w:sz="12" w:space="0" w:color="F0EBE1"/>
              <w:right w:val="nil"/>
            </w:tcBorders>
            <w:shd w:val="clear" w:color="auto" w:fill="FFFFFF"/>
            <w:vAlign w:val="center"/>
          </w:tcPr>
          <w:p w14:paraId="4F726073" w14:textId="5A338FFC" w:rsidR="00F00701" w:rsidRPr="00320F79"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F00701" w:rsidRPr="00320F79" w14:paraId="5C6B634E" w14:textId="77777777" w:rsidTr="00B73441">
        <w:trPr>
          <w:trHeight w:val="397"/>
          <w:jc w:val="center"/>
        </w:trPr>
        <w:tc>
          <w:tcPr>
            <w:tcW w:w="1686" w:type="dxa"/>
            <w:tcBorders>
              <w:top w:val="single" w:sz="12" w:space="0" w:color="FFFFFF"/>
              <w:left w:val="nil"/>
              <w:bottom w:val="single" w:sz="12" w:space="0" w:color="FFFFFF"/>
            </w:tcBorders>
            <w:shd w:val="clear" w:color="auto" w:fill="F0EBE1"/>
            <w:vAlign w:val="center"/>
          </w:tcPr>
          <w:p w14:paraId="5C2E5378" w14:textId="16BAD688" w:rsidR="00F00701" w:rsidRPr="00320F79"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57" w:type="dxa"/>
            <w:tcBorders>
              <w:top w:val="single" w:sz="12" w:space="0" w:color="F0EBE1"/>
              <w:bottom w:val="single" w:sz="12" w:space="0" w:color="F0EBE1"/>
            </w:tcBorders>
            <w:shd w:val="clear" w:color="auto" w:fill="FFFFFF"/>
            <w:vAlign w:val="center"/>
          </w:tcPr>
          <w:p w14:paraId="54A99971" w14:textId="77777777" w:rsidR="00F00701" w:rsidRPr="00320F79"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14:paraId="0A2A7946" w14:textId="097062FD" w:rsidR="00F00701" w:rsidRPr="00320F79"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699" w:type="dxa"/>
            <w:tcBorders>
              <w:top w:val="single" w:sz="12" w:space="0" w:color="FFFFFF"/>
              <w:bottom w:val="single" w:sz="12" w:space="0" w:color="FFFFFF"/>
            </w:tcBorders>
            <w:shd w:val="clear" w:color="auto" w:fill="F0EBE1"/>
            <w:vAlign w:val="center"/>
          </w:tcPr>
          <w:p w14:paraId="1A7B357E" w14:textId="002FB975" w:rsidR="00F00701" w:rsidRPr="00320F79"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730" w:type="dxa"/>
            <w:gridSpan w:val="2"/>
            <w:tcBorders>
              <w:top w:val="single" w:sz="12" w:space="0" w:color="F0EBE1"/>
              <w:bottom w:val="single" w:sz="12" w:space="0" w:color="F0EBE1"/>
              <w:right w:val="nil"/>
            </w:tcBorders>
            <w:shd w:val="clear" w:color="auto" w:fill="FFFFFF"/>
            <w:vAlign w:val="center"/>
          </w:tcPr>
          <w:p w14:paraId="74CFA149" w14:textId="5C10E6EE" w:rsidR="00F00701" w:rsidRPr="00B745DB" w:rsidRDefault="00F00701" w:rsidP="00F00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D54D03">
              <w:rPr>
                <w:rFonts w:ascii="Arial" w:hAnsi="Arial" w:cs="Arial"/>
                <w:b/>
                <w:color w:val="6C6361"/>
                <w:sz w:val="20"/>
                <w:szCs w:val="20"/>
              </w:rPr>
              <w:t xml:space="preserve">LSHK </w:t>
            </w:r>
            <w:r>
              <w:rPr>
                <w:rFonts w:ascii="Arial" w:hAnsi="Arial" w:cs="Arial"/>
                <w:b/>
                <w:color w:val="6C6361"/>
                <w:sz w:val="20"/>
                <w:szCs w:val="20"/>
              </w:rPr>
              <w:t xml:space="preserve">3.0 </w:t>
            </w:r>
            <w:r w:rsidRPr="00D54D03">
              <w:rPr>
                <w:rFonts w:ascii="Arial" w:hAnsi="Arial" w:cs="Arial"/>
                <w:b/>
                <w:color w:val="6C6361"/>
                <w:sz w:val="20"/>
                <w:szCs w:val="20"/>
              </w:rPr>
              <w:t>CPD Points</w:t>
            </w:r>
          </w:p>
        </w:tc>
      </w:tr>
      <w:tr w:rsidR="00B73441" w:rsidRPr="00320F79" w14:paraId="3615FA49" w14:textId="77777777" w:rsidTr="00B73441">
        <w:trPr>
          <w:trHeight w:val="1247"/>
          <w:jc w:val="center"/>
        </w:trPr>
        <w:tc>
          <w:tcPr>
            <w:tcW w:w="1686" w:type="dxa"/>
            <w:tcBorders>
              <w:top w:val="single" w:sz="12" w:space="0" w:color="FFFFFF"/>
              <w:left w:val="nil"/>
              <w:bottom w:val="nil"/>
            </w:tcBorders>
            <w:shd w:val="clear" w:color="auto" w:fill="F0EBE1"/>
            <w:vAlign w:val="center"/>
          </w:tcPr>
          <w:p w14:paraId="1ECD95DC" w14:textId="00E1A5DC"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3657" w:type="dxa"/>
            <w:tcBorders>
              <w:top w:val="single" w:sz="12" w:space="0" w:color="F0EBE1"/>
              <w:bottom w:val="nil"/>
            </w:tcBorders>
            <w:shd w:val="clear" w:color="auto" w:fill="FFFFFF"/>
            <w:vAlign w:val="center"/>
          </w:tcPr>
          <w:p w14:paraId="5213B9ED" w14:textId="6BA4AA8F" w:rsidR="00B73441" w:rsidRPr="00E2201B" w:rsidRDefault="00B73441" w:rsidP="00B73441">
            <w:pPr>
              <w:ind w:right="400"/>
              <w:jc w:val="left"/>
              <w:rPr>
                <w:rFonts w:ascii="Arial" w:hAnsi="Arial" w:cs="Arial"/>
                <w:b/>
                <w:color w:val="6C6361"/>
                <w:sz w:val="12"/>
                <w:szCs w:val="12"/>
              </w:rPr>
            </w:pPr>
            <w:r>
              <w:rPr>
                <w:rFonts w:ascii="Arial" w:hAnsi="Arial" w:cs="Arial"/>
                <w:b/>
                <w:color w:val="6C6361"/>
                <w:sz w:val="20"/>
                <w:szCs w:val="20"/>
              </w:rPr>
              <w:t xml:space="preserve">Online </w:t>
            </w:r>
            <w:r w:rsidRPr="00300FF7">
              <w:rPr>
                <w:rFonts w:ascii="Arial" w:hAnsi="Arial" w:cs="Arial"/>
                <w:bCs/>
                <w:color w:val="6C6361"/>
                <w:sz w:val="20"/>
                <w:szCs w:val="20"/>
              </w:rPr>
              <w:t>via Zoom</w:t>
            </w:r>
          </w:p>
        </w:tc>
        <w:tc>
          <w:tcPr>
            <w:tcW w:w="1699" w:type="dxa"/>
            <w:tcBorders>
              <w:top w:val="single" w:sz="12" w:space="0" w:color="FFFFFF"/>
              <w:bottom w:val="nil"/>
            </w:tcBorders>
            <w:shd w:val="clear" w:color="auto" w:fill="F0EBE1"/>
            <w:vAlign w:val="center"/>
          </w:tcPr>
          <w:p w14:paraId="59D092DC" w14:textId="77777777" w:rsidR="00B73441" w:rsidRPr="003A2A41"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319EF2FD" w14:textId="77777777" w:rsidR="00B73441" w:rsidRPr="003A2A41"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91" w:type="dxa"/>
            <w:tcBorders>
              <w:top w:val="single" w:sz="12" w:space="0" w:color="F0EBE1"/>
              <w:bottom w:val="nil"/>
              <w:right w:val="nil"/>
            </w:tcBorders>
            <w:shd w:val="clear" w:color="auto" w:fill="FFFFFF"/>
            <w:vAlign w:val="center"/>
          </w:tcPr>
          <w:p w14:paraId="39DCB16C" w14:textId="77777777" w:rsidR="00B73441" w:rsidRPr="003A2A41"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14:paraId="628F4A15" w14:textId="77777777" w:rsidR="00B73441" w:rsidRPr="003A2A41"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14:paraId="2E19FD45" w14:textId="77777777" w:rsidR="00B73441" w:rsidRPr="00156567"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9CCAD4E" wp14:editId="6C217E26">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042FA188" w14:textId="77777777" w:rsidR="00214BC6" w:rsidRPr="005325E9" w:rsidRDefault="00214BC6" w:rsidP="00334B93">
      <w:pPr>
        <w:rPr>
          <w:sz w:val="2"/>
          <w:szCs w:val="2"/>
        </w:rPr>
      </w:pPr>
    </w:p>
    <w:sectPr w:rsidR="00214BC6" w:rsidRPr="005325E9"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0D3D1" w14:textId="77777777" w:rsidR="00CA22E5" w:rsidRDefault="00CA22E5" w:rsidP="00546556">
      <w:r>
        <w:separator/>
      </w:r>
    </w:p>
  </w:endnote>
  <w:endnote w:type="continuationSeparator" w:id="0">
    <w:p w14:paraId="6489A96E" w14:textId="77777777" w:rsidR="00CA22E5" w:rsidRDefault="00CA22E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40CEA"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308E3E4E" w14:textId="77777777" w:rsidTr="00A775CE">
      <w:trPr>
        <w:trHeight w:val="1824"/>
        <w:jc w:val="center"/>
      </w:trPr>
      <w:tc>
        <w:tcPr>
          <w:tcW w:w="5954" w:type="dxa"/>
          <w:vAlign w:val="bottom"/>
        </w:tcPr>
        <w:p w14:paraId="74803948"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5ABD40E" wp14:editId="2BF2C5A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76227BE9" w14:textId="77777777" w:rsidR="00197F64" w:rsidRPr="00EA2D57" w:rsidRDefault="00197F64" w:rsidP="00197F64">
          <w:pPr>
            <w:ind w:right="33"/>
            <w:jc w:val="center"/>
            <w:rPr>
              <w:rFonts w:ascii="Arial" w:hAnsi="Arial" w:cs="Arial"/>
              <w:color w:val="E4DCCA"/>
              <w:sz w:val="16"/>
              <w:szCs w:val="16"/>
            </w:rPr>
          </w:pPr>
        </w:p>
        <w:p w14:paraId="23F8841F"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0FF15116"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37C078D5"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DE853ED"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1B9448DE" wp14:editId="22BC39E7">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04E88F0E"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68C4CB8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60C1B44A"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22E7372"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4B0F99D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5BF8F559"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AE3E5" w14:textId="77777777" w:rsidR="00CA22E5" w:rsidRDefault="00CA22E5" w:rsidP="00546556">
      <w:r>
        <w:separator/>
      </w:r>
    </w:p>
  </w:footnote>
  <w:footnote w:type="continuationSeparator" w:id="0">
    <w:p w14:paraId="4D41DEC4" w14:textId="77777777" w:rsidR="00CA22E5" w:rsidRDefault="00CA22E5"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5EB7" w14:textId="77777777" w:rsidR="002C4DC0" w:rsidRDefault="00F0384F">
    <w:pPr>
      <w:pStyle w:val="Header"/>
    </w:pPr>
    <w:r>
      <w:rPr>
        <w:noProof/>
      </w:rPr>
      <w:drawing>
        <wp:anchor distT="0" distB="0" distL="114300" distR="114300" simplePos="0" relativeHeight="251659264" behindDoc="1" locked="0" layoutInCell="1" allowOverlap="1" wp14:anchorId="0B0C8BF8" wp14:editId="7B625034">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aZZyPxJ2+MKcolc63OFJnY78yeH/MM+AQIyHRuMiduh14XOgkiFwKHEOVjfX4RqRHboyfmDEKRPssxT20Q/5hg==" w:salt="zRDjDT7L9OLTRdb3dEvkS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464AF"/>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0D4"/>
    <w:rsid w:val="001F0546"/>
    <w:rsid w:val="001F1C2D"/>
    <w:rsid w:val="001F22C2"/>
    <w:rsid w:val="001F3652"/>
    <w:rsid w:val="001F5DDC"/>
    <w:rsid w:val="001F5EAB"/>
    <w:rsid w:val="001F6E28"/>
    <w:rsid w:val="001F7941"/>
    <w:rsid w:val="001F7DDD"/>
    <w:rsid w:val="002026F9"/>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4DA0"/>
    <w:rsid w:val="002A5B47"/>
    <w:rsid w:val="002B029C"/>
    <w:rsid w:val="002B149D"/>
    <w:rsid w:val="002B547D"/>
    <w:rsid w:val="002B5992"/>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4B93"/>
    <w:rsid w:val="00335E86"/>
    <w:rsid w:val="00335EBF"/>
    <w:rsid w:val="00336206"/>
    <w:rsid w:val="003362DD"/>
    <w:rsid w:val="00336517"/>
    <w:rsid w:val="003367A5"/>
    <w:rsid w:val="00336FC6"/>
    <w:rsid w:val="00337985"/>
    <w:rsid w:val="003405B3"/>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6E88"/>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77B"/>
    <w:rsid w:val="00515D95"/>
    <w:rsid w:val="00516B85"/>
    <w:rsid w:val="005210C6"/>
    <w:rsid w:val="00522FD3"/>
    <w:rsid w:val="00522FEC"/>
    <w:rsid w:val="00523649"/>
    <w:rsid w:val="005240C4"/>
    <w:rsid w:val="0052411E"/>
    <w:rsid w:val="00525AD3"/>
    <w:rsid w:val="00526AC4"/>
    <w:rsid w:val="005312B9"/>
    <w:rsid w:val="00531828"/>
    <w:rsid w:val="00532283"/>
    <w:rsid w:val="005325E9"/>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B6CC8"/>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84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04C"/>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2FFA"/>
    <w:rsid w:val="009A3216"/>
    <w:rsid w:val="009A423D"/>
    <w:rsid w:val="009A5018"/>
    <w:rsid w:val="009A573B"/>
    <w:rsid w:val="009A590F"/>
    <w:rsid w:val="009A5955"/>
    <w:rsid w:val="009A7324"/>
    <w:rsid w:val="009B04F4"/>
    <w:rsid w:val="009B0A32"/>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66EC"/>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2A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47E62"/>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3441"/>
    <w:rsid w:val="00B745B5"/>
    <w:rsid w:val="00B745D2"/>
    <w:rsid w:val="00B75377"/>
    <w:rsid w:val="00B817CB"/>
    <w:rsid w:val="00B82E45"/>
    <w:rsid w:val="00B833D0"/>
    <w:rsid w:val="00B8403F"/>
    <w:rsid w:val="00B84150"/>
    <w:rsid w:val="00B848CC"/>
    <w:rsid w:val="00B84B20"/>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61C"/>
    <w:rsid w:val="00C9436C"/>
    <w:rsid w:val="00C94A56"/>
    <w:rsid w:val="00C958F4"/>
    <w:rsid w:val="00C95F68"/>
    <w:rsid w:val="00C969D8"/>
    <w:rsid w:val="00C969F0"/>
    <w:rsid w:val="00C96E67"/>
    <w:rsid w:val="00CA1902"/>
    <w:rsid w:val="00CA1AC4"/>
    <w:rsid w:val="00CA22E5"/>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7C1"/>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701"/>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45BFB063"/>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00/"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93/"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DF853-CCEE-4127-8799-28F1D30E0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CPD Course: Guangdong-Hong Kong-Macao Greater Bay Area (GBA): Special Economics Zones Rules and Policies</vt:lpstr>
    </vt:vector>
  </TitlesOfParts>
  <Manager>Tyrone Tsang</Manager>
  <Company>The Profectional Company Limited</Company>
  <LinksUpToDate>false</LinksUpToDate>
  <CharactersWithSpaces>5300</CharactersWithSpaces>
  <SharedDoc>false</SharedDoc>
  <HyperlinkBase>http://download.profectional.com/events/EVT000000383.docx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How Should You Choose the Governing Law of Your Commercial Contract? Principles on Choice of Law in International Commercial Contracts</dc:title>
  <dc:subject>CPD Course: How Should You Choose the Governing Law of Your Commercial Contract? Principles on Choice of Law in International Commercial Contracts</dc:subject>
  <dc:creator>The Profectional Company Limited</dc:creator>
  <cp:keywords>Profectional; Kornerstone; CPD; CPT; CLE; CE; RME; Julien Chaisse; Professor; City University of Hong Kong</cp:keywords>
  <cp:lastModifiedBy>Tyrone Tsang</cp:lastModifiedBy>
  <cp:revision>31</cp:revision>
  <cp:lastPrinted>2023-10-02T09:57:00Z</cp:lastPrinted>
  <dcterms:created xsi:type="dcterms:W3CDTF">2015-08-21T08:33:00Z</dcterms:created>
  <dcterms:modified xsi:type="dcterms:W3CDTF">2023-10-02T09:57:00Z</dcterms:modified>
</cp:coreProperties>
</file>