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7CCCF" w14:textId="77777777" w:rsidR="00277E3F" w:rsidRPr="00277E3F" w:rsidRDefault="00277E3F" w:rsidP="00277E3F">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77E3F" w:rsidRPr="00523A64" w14:paraId="79C01597" w14:textId="77777777" w:rsidTr="004E563A">
        <w:trPr>
          <w:trHeight w:val="3119"/>
          <w:jc w:val="center"/>
        </w:trPr>
        <w:tc>
          <w:tcPr>
            <w:tcW w:w="4820" w:type="dxa"/>
            <w:shd w:val="clear" w:color="auto" w:fill="FFFFFF"/>
            <w:vAlign w:val="center"/>
          </w:tcPr>
          <w:p w14:paraId="3808DBB8" w14:textId="77777777" w:rsidR="00277E3F" w:rsidRPr="005455CF" w:rsidRDefault="00277E3F" w:rsidP="004E563A">
            <w:pPr>
              <w:jc w:val="center"/>
              <w:rPr>
                <w:rFonts w:ascii="Arial" w:hAnsi="Arial" w:cs="Arial"/>
                <w:b/>
                <w:bCs/>
                <w:color w:val="524B48"/>
                <w:sz w:val="8"/>
                <w:szCs w:val="8"/>
              </w:rPr>
            </w:pPr>
          </w:p>
          <w:p w14:paraId="46E1F65D" w14:textId="77777777" w:rsidR="00277E3F" w:rsidRPr="00D05357" w:rsidRDefault="00277E3F" w:rsidP="004E563A">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"http://cpd.hk/evt000000394/"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Oaths, Affidavits</w:t>
            </w:r>
            <w:r>
              <w:rPr>
                <w:rStyle w:val="Hyperlink"/>
                <w:rFonts w:ascii="Arial" w:hAnsi="Arial" w:cs="Arial"/>
                <w:b/>
                <w:bCs/>
                <w:color w:val="524B48"/>
                <w:sz w:val="32"/>
                <w:szCs w:val="32"/>
                <w:u w:val="none"/>
              </w:rPr>
              <w:br/>
              <w:t>and Declarations:</w:t>
            </w:r>
            <w:r>
              <w:rPr>
                <w:rStyle w:val="Hyperlink"/>
                <w:rFonts w:ascii="Arial" w:hAnsi="Arial" w:cs="Arial"/>
                <w:b/>
                <w:bCs/>
                <w:color w:val="524B48"/>
                <w:sz w:val="32"/>
                <w:szCs w:val="32"/>
                <w:u w:val="none"/>
              </w:rPr>
              <w:br/>
              <w:t>Local and Foreign Issues</w:t>
            </w:r>
          </w:p>
          <w:p w14:paraId="65B5236D" w14:textId="77777777" w:rsidR="00277E3F" w:rsidRPr="00510FE2" w:rsidRDefault="00277E3F" w:rsidP="004E563A">
            <w:pPr>
              <w:jc w:val="center"/>
              <w:rPr>
                <w:rFonts w:ascii="Arial" w:hAnsi="Arial" w:cs="Arial"/>
                <w:b/>
                <w:bCs/>
                <w:sz w:val="28"/>
                <w:szCs w:val="28"/>
              </w:rPr>
            </w:pPr>
            <w:r w:rsidRPr="00B8559C">
              <w:rPr>
                <w:rFonts w:ascii="Arial" w:hAnsi="Arial" w:cs="Arial"/>
                <w:b/>
                <w:bCs/>
                <w:color w:val="524B48"/>
                <w:sz w:val="32"/>
                <w:szCs w:val="32"/>
              </w:rPr>
              <w:fldChar w:fldCharType="end"/>
            </w:r>
          </w:p>
          <w:p w14:paraId="711CFE09" w14:textId="77777777" w:rsidR="00277E3F" w:rsidRPr="009D67FA" w:rsidRDefault="00277E3F" w:rsidP="004E563A">
            <w:pPr>
              <w:jc w:val="center"/>
              <w:rPr>
                <w:rFonts w:ascii="Arial" w:hAnsi="Arial" w:cs="Arial"/>
                <w:i/>
                <w:color w:val="6C6361"/>
                <w:sz w:val="24"/>
                <w:szCs w:val="24"/>
              </w:rPr>
            </w:pPr>
            <w:r w:rsidRPr="009D67FA">
              <w:rPr>
                <w:rFonts w:ascii="Arial" w:hAnsi="Arial" w:cs="Arial"/>
                <w:i/>
                <w:color w:val="6C6361"/>
                <w:sz w:val="24"/>
                <w:szCs w:val="24"/>
              </w:rPr>
              <w:t>by</w:t>
            </w:r>
          </w:p>
          <w:p w14:paraId="004A9FA0" w14:textId="77777777" w:rsidR="00277E3F" w:rsidRPr="00B8559C" w:rsidRDefault="00277E3F" w:rsidP="004E563A">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49DA7672" w14:textId="77777777" w:rsidR="00277E3F" w:rsidRDefault="00277E3F" w:rsidP="004E563A">
            <w:pPr>
              <w:jc w:val="center"/>
              <w:rPr>
                <w:rFonts w:ascii="Arial" w:hAnsi="Arial" w:cs="Arial"/>
                <w:color w:val="6C6361"/>
                <w:sz w:val="24"/>
                <w:szCs w:val="24"/>
              </w:rPr>
            </w:pPr>
            <w:r>
              <w:rPr>
                <w:rFonts w:ascii="Arial" w:hAnsi="Arial" w:cs="Arial"/>
                <w:color w:val="6C6361"/>
                <w:sz w:val="24"/>
                <w:szCs w:val="24"/>
              </w:rPr>
              <w:t>Solicitor &amp; Notary Public,</w:t>
            </w:r>
          </w:p>
          <w:p w14:paraId="5CFECB88" w14:textId="77777777" w:rsidR="00277E3F" w:rsidRPr="005455CF" w:rsidRDefault="00277E3F" w:rsidP="004E563A">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35D2F9A6" w14:textId="77777777" w:rsidR="00277E3F" w:rsidRPr="00D50772" w:rsidRDefault="00277E3F" w:rsidP="004E563A">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67B7F867" wp14:editId="17C174F7">
                  <wp:simplePos x="0" y="0"/>
                  <wp:positionH relativeFrom="column">
                    <wp:posOffset>3178810</wp:posOffset>
                  </wp:positionH>
                  <wp:positionV relativeFrom="paragraph">
                    <wp:posOffset>-55880</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3B0F0A2" wp14:editId="660C6CF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59093C36" w14:textId="77777777" w:rsidR="00277E3F" w:rsidRPr="007403AB" w:rsidRDefault="00277E3F" w:rsidP="00277E3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77E3F" w:rsidRPr="00932231" w14:paraId="4102EEFB" w14:textId="77777777" w:rsidTr="004E563A">
        <w:trPr>
          <w:trHeight w:val="5675"/>
          <w:jc w:val="center"/>
        </w:trPr>
        <w:tc>
          <w:tcPr>
            <w:tcW w:w="1985" w:type="dxa"/>
            <w:shd w:val="clear" w:color="auto" w:fill="FFFFFF"/>
            <w:vAlign w:val="center"/>
          </w:tcPr>
          <w:p w14:paraId="5257D548" w14:textId="77777777" w:rsidR="00277E3F" w:rsidRPr="00932231" w:rsidRDefault="00277E3F" w:rsidP="004E563A">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05BC1738" wp14:editId="1BD385A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E9E1A0E" w14:textId="77777777" w:rsidR="00277E3F" w:rsidRPr="00E25DEE" w:rsidRDefault="00277E3F" w:rsidP="00277E3F">
            <w:pPr>
              <w:spacing w:line="276" w:lineRule="auto"/>
              <w:rPr>
                <w:rFonts w:ascii="Arial" w:hAnsi="Arial" w:cs="Arial"/>
                <w:color w:val="6C6361"/>
                <w:sz w:val="20"/>
                <w:szCs w:val="20"/>
              </w:rPr>
            </w:pPr>
            <w:r w:rsidRPr="00E25DEE">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625A37F7" w14:textId="77777777" w:rsidR="00277E3F" w:rsidRPr="00E25DEE" w:rsidRDefault="00277E3F" w:rsidP="00277E3F">
            <w:pPr>
              <w:spacing w:line="276" w:lineRule="auto"/>
              <w:rPr>
                <w:rFonts w:ascii="Arial" w:hAnsi="Arial" w:cs="Arial"/>
                <w:color w:val="6C6361"/>
                <w:sz w:val="20"/>
                <w:szCs w:val="20"/>
              </w:rPr>
            </w:pPr>
          </w:p>
          <w:p w14:paraId="3A21F75E" w14:textId="77777777" w:rsidR="00277E3F" w:rsidRPr="00E25DEE" w:rsidRDefault="00277E3F" w:rsidP="00277E3F">
            <w:pPr>
              <w:spacing w:line="276" w:lineRule="auto"/>
              <w:rPr>
                <w:rFonts w:ascii="Arial" w:hAnsi="Arial" w:cs="Arial"/>
                <w:color w:val="6C6361"/>
                <w:sz w:val="20"/>
                <w:szCs w:val="20"/>
              </w:rPr>
            </w:pPr>
            <w:r w:rsidRPr="00E25DEE">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E25DEE">
              <w:rPr>
                <w:rFonts w:ascii="Arial" w:hAnsi="Arial" w:cs="Arial"/>
                <w:color w:val="6C6361"/>
                <w:sz w:val="20"/>
                <w:szCs w:val="20"/>
              </w:rPr>
              <w:t>notarised</w:t>
            </w:r>
            <w:proofErr w:type="spellEnd"/>
            <w:r w:rsidRPr="00E25DEE">
              <w:rPr>
                <w:rFonts w:ascii="Arial" w:hAnsi="Arial" w:cs="Arial"/>
                <w:color w:val="6C6361"/>
                <w:sz w:val="20"/>
                <w:szCs w:val="20"/>
              </w:rPr>
              <w:t xml:space="preserve"> documents.</w:t>
            </w:r>
          </w:p>
          <w:p w14:paraId="441B958F" w14:textId="77777777" w:rsidR="00277E3F" w:rsidRPr="00E25DEE" w:rsidRDefault="00277E3F" w:rsidP="00277E3F">
            <w:pPr>
              <w:spacing w:line="276" w:lineRule="auto"/>
              <w:rPr>
                <w:rFonts w:ascii="Arial" w:hAnsi="Arial" w:cs="Arial"/>
                <w:color w:val="6C6361"/>
                <w:sz w:val="20"/>
                <w:szCs w:val="20"/>
              </w:rPr>
            </w:pPr>
          </w:p>
          <w:p w14:paraId="71456291" w14:textId="77777777" w:rsidR="00277E3F" w:rsidRPr="00E25DEE" w:rsidRDefault="00277E3F" w:rsidP="00277E3F">
            <w:pPr>
              <w:spacing w:line="276" w:lineRule="auto"/>
              <w:rPr>
                <w:rFonts w:ascii="Arial" w:hAnsi="Arial" w:cs="Arial"/>
                <w:color w:val="6C6361"/>
                <w:sz w:val="20"/>
                <w:szCs w:val="20"/>
              </w:rPr>
            </w:pPr>
            <w:r w:rsidRPr="00E25DEE">
              <w:rPr>
                <w:rFonts w:ascii="Arial" w:hAnsi="Arial" w:cs="Arial"/>
                <w:color w:val="6C6361"/>
                <w:sz w:val="20"/>
                <w:szCs w:val="20"/>
              </w:rPr>
              <w:t xml:space="preserve">Samuel has presented </w:t>
            </w:r>
            <w:r>
              <w:rPr>
                <w:rFonts w:ascii="Arial" w:hAnsi="Arial" w:cs="Arial"/>
                <w:color w:val="6C6361"/>
                <w:sz w:val="20"/>
                <w:szCs w:val="20"/>
              </w:rPr>
              <w:t>40</w:t>
            </w:r>
            <w:r w:rsidRPr="00E25DEE">
              <w:rPr>
                <w:rFonts w:ascii="Arial" w:hAnsi="Arial" w:cs="Arial"/>
                <w:color w:val="6C6361"/>
                <w:sz w:val="20"/>
                <w:szCs w:val="20"/>
              </w:rPr>
              <w:t xml:space="preserve"> seminars to professionals to demonstrate notarial practice, with total audience exceeding 3,4</w:t>
            </w:r>
            <w:r>
              <w:rPr>
                <w:rFonts w:ascii="Arial" w:hAnsi="Arial" w:cs="Arial"/>
                <w:color w:val="6C6361"/>
                <w:sz w:val="20"/>
                <w:szCs w:val="20"/>
              </w:rPr>
              <w:t>8</w:t>
            </w:r>
            <w:r w:rsidRPr="00E25DEE">
              <w:rPr>
                <w:rFonts w:ascii="Arial" w:hAnsi="Arial" w:cs="Arial"/>
                <w:color w:val="6C6361"/>
                <w:sz w:val="20"/>
                <w:szCs w:val="20"/>
              </w:rPr>
              <w:t>5.</w:t>
            </w:r>
          </w:p>
          <w:p w14:paraId="0DE349CB" w14:textId="77777777" w:rsidR="00277E3F" w:rsidRPr="00E25DEE" w:rsidRDefault="00277E3F" w:rsidP="00277E3F">
            <w:pPr>
              <w:spacing w:line="276" w:lineRule="auto"/>
              <w:rPr>
                <w:rFonts w:ascii="Arial" w:hAnsi="Arial" w:cs="Arial"/>
                <w:color w:val="6C6361"/>
                <w:sz w:val="20"/>
                <w:szCs w:val="20"/>
              </w:rPr>
            </w:pPr>
          </w:p>
          <w:p w14:paraId="6392A0A0" w14:textId="77777777" w:rsidR="00277E3F" w:rsidRPr="00E25DEE" w:rsidRDefault="00277E3F" w:rsidP="00277E3F">
            <w:pPr>
              <w:spacing w:line="276" w:lineRule="auto"/>
              <w:rPr>
                <w:rFonts w:ascii="Arial" w:hAnsi="Arial" w:cs="Arial"/>
                <w:color w:val="6C6361"/>
                <w:sz w:val="20"/>
                <w:szCs w:val="20"/>
              </w:rPr>
            </w:pPr>
            <w:r w:rsidRPr="00E25DEE">
              <w:rPr>
                <w:rFonts w:ascii="Arial" w:hAnsi="Arial" w:cs="Arial"/>
                <w:color w:val="6C6361"/>
                <w:sz w:val="20"/>
                <w:szCs w:val="20"/>
              </w:rPr>
              <w:t>Samuel is the author of the soon released notarial book named "Notarial Services in Hong Kong: General Principles, Values and Practice".</w:t>
            </w:r>
          </w:p>
          <w:p w14:paraId="0B28F697" w14:textId="77777777" w:rsidR="00277E3F" w:rsidRPr="00E25DEE" w:rsidRDefault="00277E3F" w:rsidP="00277E3F">
            <w:pPr>
              <w:spacing w:line="276" w:lineRule="auto"/>
              <w:rPr>
                <w:rFonts w:ascii="Arial" w:hAnsi="Arial" w:cs="Arial"/>
                <w:color w:val="6C6361"/>
                <w:sz w:val="20"/>
                <w:szCs w:val="20"/>
              </w:rPr>
            </w:pPr>
          </w:p>
          <w:p w14:paraId="3D88B7E0" w14:textId="77777777" w:rsidR="00277E3F" w:rsidRPr="00932231" w:rsidRDefault="00277E3F" w:rsidP="00277E3F">
            <w:pPr>
              <w:pStyle w:val="NormalWeb"/>
              <w:spacing w:before="0" w:beforeAutospacing="0" w:after="0" w:afterAutospacing="0"/>
              <w:jc w:val="both"/>
              <w:rPr>
                <w:rFonts w:ascii="Arial" w:hAnsi="Arial" w:cs="Arial"/>
                <w:color w:val="6C6361"/>
                <w:sz w:val="18"/>
                <w:szCs w:val="18"/>
              </w:rPr>
            </w:pPr>
            <w:r w:rsidRPr="00E25DEE">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2896EE86" w14:textId="77777777" w:rsidR="00277E3F" w:rsidRPr="007403AB" w:rsidRDefault="00277E3F" w:rsidP="00277E3F">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77E3F" w:rsidRPr="007403AB" w14:paraId="4FB0C239" w14:textId="77777777" w:rsidTr="004E563A">
        <w:trPr>
          <w:trHeight w:val="4569"/>
          <w:jc w:val="center"/>
        </w:trPr>
        <w:tc>
          <w:tcPr>
            <w:tcW w:w="10773" w:type="dxa"/>
            <w:shd w:val="clear" w:color="auto" w:fill="FFFFFF" w:themeFill="background1"/>
            <w:vAlign w:val="center"/>
          </w:tcPr>
          <w:p w14:paraId="41494E44" w14:textId="77777777" w:rsidR="00277E3F"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objective of the seminar is to identify and manage the risk associated with Affidavits and Declarations.</w:t>
            </w:r>
          </w:p>
          <w:p w14:paraId="344C5A66" w14:textId="77777777" w:rsidR="00277E3F" w:rsidRDefault="00277E3F" w:rsidP="004E563A">
            <w:pPr>
              <w:spacing w:line="276" w:lineRule="auto"/>
              <w:rPr>
                <w:rFonts w:ascii="Arial" w:eastAsia="Times New Roman" w:hAnsi="Arial" w:cs="Arial"/>
                <w:color w:val="6C6361"/>
                <w:sz w:val="20"/>
                <w:szCs w:val="20"/>
              </w:rPr>
            </w:pPr>
          </w:p>
          <w:p w14:paraId="7034D0C5" w14:textId="77777777" w:rsidR="00277E3F" w:rsidRPr="009D6E79"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In their daily practice, legal practitioners often handle Affidavits and Declarations in court cases, conveyancing transactions, and other legal matters.</w:t>
            </w:r>
          </w:p>
          <w:p w14:paraId="353A0DFA" w14:textId="77777777" w:rsidR="00277E3F" w:rsidRPr="009D6E79" w:rsidRDefault="00277E3F" w:rsidP="004E563A">
            <w:pPr>
              <w:spacing w:line="276" w:lineRule="auto"/>
              <w:rPr>
                <w:rFonts w:ascii="Arial" w:eastAsia="Times New Roman" w:hAnsi="Arial" w:cs="Arial"/>
                <w:color w:val="6C6361"/>
                <w:sz w:val="20"/>
                <w:szCs w:val="20"/>
              </w:rPr>
            </w:pPr>
          </w:p>
          <w:p w14:paraId="0F3705C4" w14:textId="77777777" w:rsidR="00277E3F" w:rsidRPr="009D6E79"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Affidavits are governed by Rules of High Court Order 41, and Practice Directions 10.1. Failure to comply will cause affidavit evidence inadmissible with a risk of losing clients' cases.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Although leave can be applied from court for defective affidavits to be admitted into evidence, there is a risk of losing costs and wasting time.</w:t>
            </w:r>
          </w:p>
          <w:p w14:paraId="4CE4F0CA" w14:textId="77777777" w:rsidR="00277E3F" w:rsidRPr="009D6E79" w:rsidRDefault="00277E3F" w:rsidP="004E563A">
            <w:pPr>
              <w:spacing w:line="276" w:lineRule="auto"/>
              <w:rPr>
                <w:rFonts w:ascii="Arial" w:eastAsia="Times New Roman" w:hAnsi="Arial" w:cs="Arial"/>
                <w:color w:val="6C6361"/>
                <w:sz w:val="20"/>
                <w:szCs w:val="20"/>
              </w:rPr>
            </w:pPr>
          </w:p>
          <w:p w14:paraId="05F66541" w14:textId="77777777" w:rsidR="00277E3F" w:rsidRPr="009D6E79"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Statutory Declarations are under the strict rules of the Oaths and Declarations Ordinance </w:t>
            </w:r>
            <w:r>
              <w:rPr>
                <w:rFonts w:ascii="Arial" w:eastAsia="Times New Roman" w:hAnsi="Arial" w:cs="Arial"/>
                <w:color w:val="6C6361"/>
                <w:sz w:val="20"/>
                <w:szCs w:val="20"/>
              </w:rPr>
              <w:t>(</w:t>
            </w:r>
            <w:r w:rsidRPr="009D6E79">
              <w:rPr>
                <w:rFonts w:ascii="Arial" w:eastAsia="Times New Roman" w:hAnsi="Arial" w:cs="Arial"/>
                <w:color w:val="6C6361"/>
                <w:sz w:val="20"/>
                <w:szCs w:val="20"/>
              </w:rPr>
              <w:t>Cap</w:t>
            </w:r>
            <w:r>
              <w:rPr>
                <w:rFonts w:ascii="Arial" w:eastAsia="Times New Roman" w:hAnsi="Arial" w:cs="Arial"/>
                <w:color w:val="6C6361"/>
                <w:sz w:val="20"/>
                <w:szCs w:val="20"/>
              </w:rPr>
              <w:t>.</w:t>
            </w:r>
            <w:r w:rsidRPr="009D6E79">
              <w:rPr>
                <w:rFonts w:ascii="Arial" w:eastAsia="Times New Roman" w:hAnsi="Arial" w:cs="Arial"/>
                <w:color w:val="6C6361"/>
                <w:sz w:val="20"/>
                <w:szCs w:val="20"/>
              </w:rPr>
              <w:t>11</w:t>
            </w:r>
            <w:r>
              <w:rPr>
                <w:rFonts w:ascii="Arial" w:eastAsia="Times New Roman" w:hAnsi="Arial" w:cs="Arial"/>
                <w:color w:val="6C6361"/>
                <w:sz w:val="20"/>
                <w:szCs w:val="20"/>
              </w:rPr>
              <w:t>)</w:t>
            </w:r>
            <w:r w:rsidRPr="009D6E79">
              <w:rPr>
                <w:rFonts w:ascii="Arial" w:eastAsia="Times New Roman" w:hAnsi="Arial" w:cs="Arial"/>
                <w:color w:val="6C6361"/>
                <w:sz w:val="20"/>
                <w:szCs w:val="20"/>
              </w:rPr>
              <w:t xml:space="preserve">.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The Failure to comply is fatal thereby posing a risk.</w:t>
            </w:r>
          </w:p>
          <w:p w14:paraId="5897295B" w14:textId="77777777" w:rsidR="00277E3F" w:rsidRPr="009D6E79" w:rsidRDefault="00277E3F" w:rsidP="004E563A">
            <w:pPr>
              <w:spacing w:line="276" w:lineRule="auto"/>
              <w:rPr>
                <w:rFonts w:ascii="Arial" w:eastAsia="Times New Roman" w:hAnsi="Arial" w:cs="Arial"/>
                <w:color w:val="6C6361"/>
                <w:sz w:val="20"/>
                <w:szCs w:val="20"/>
              </w:rPr>
            </w:pPr>
          </w:p>
          <w:p w14:paraId="3A1A717C" w14:textId="77777777" w:rsidR="00277E3F" w:rsidRPr="009D6E79"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Speaker will mention the proper ways to avoid the risk of non</w:t>
            </w:r>
            <w:r>
              <w:rPr>
                <w:rFonts w:ascii="Arial" w:eastAsia="Times New Roman" w:hAnsi="Arial" w:cs="Arial"/>
                <w:color w:val="6C6361"/>
                <w:sz w:val="20"/>
                <w:szCs w:val="20"/>
              </w:rPr>
              <w:t>-</w:t>
            </w:r>
            <w:r w:rsidRPr="009D6E79">
              <w:rPr>
                <w:rFonts w:ascii="Arial" w:eastAsia="Times New Roman" w:hAnsi="Arial" w:cs="Arial"/>
                <w:color w:val="6C6361"/>
                <w:sz w:val="20"/>
                <w:szCs w:val="20"/>
              </w:rPr>
              <w:t>compliance and will take the attendees through the court cases for the lessons to be learnt:</w:t>
            </w:r>
          </w:p>
          <w:p w14:paraId="23806B54" w14:textId="77777777" w:rsidR="00277E3F" w:rsidRDefault="00277E3F" w:rsidP="00277E3F">
            <w:pPr>
              <w:pStyle w:val="ListParagraph"/>
              <w:numPr>
                <w:ilvl w:val="0"/>
                <w:numId w:val="17"/>
              </w:numPr>
              <w:spacing w:line="276" w:lineRule="auto"/>
              <w:ind w:left="316" w:hanging="284"/>
              <w:rPr>
                <w:rFonts w:ascii="Arial" w:eastAsia="Times New Roman" w:hAnsi="Arial" w:cs="Arial"/>
                <w:color w:val="6C6361"/>
                <w:sz w:val="20"/>
                <w:szCs w:val="20"/>
              </w:rPr>
            </w:pPr>
            <w:proofErr w:type="spellStart"/>
            <w:r w:rsidRPr="009D6E79">
              <w:rPr>
                <w:rFonts w:ascii="Arial" w:eastAsia="Times New Roman" w:hAnsi="Arial" w:cs="Arial"/>
                <w:color w:val="6C6361"/>
                <w:sz w:val="20"/>
                <w:szCs w:val="20"/>
              </w:rPr>
              <w:t>Yiu</w:t>
            </w:r>
            <w:proofErr w:type="spellEnd"/>
            <w:r w:rsidRPr="009D6E79">
              <w:rPr>
                <w:rFonts w:ascii="Arial" w:eastAsia="Times New Roman" w:hAnsi="Arial" w:cs="Arial"/>
                <w:color w:val="6C6361"/>
                <w:sz w:val="20"/>
                <w:szCs w:val="20"/>
              </w:rPr>
              <w:t xml:space="preserve"> Ping Fong &amp; Another v Lam Lai Hing [1999] 1 HKLRD 793</w:t>
            </w:r>
          </w:p>
          <w:p w14:paraId="10A241B9" w14:textId="77777777" w:rsidR="00277E3F" w:rsidRDefault="00277E3F" w:rsidP="00277E3F">
            <w:pPr>
              <w:pStyle w:val="ListParagraph"/>
              <w:numPr>
                <w:ilvl w:val="0"/>
                <w:numId w:val="17"/>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Top Flying Investment Limited v Open Mission Assets Limited [2006] 4 HKLRD 83</w:t>
            </w:r>
          </w:p>
          <w:p w14:paraId="3BBFFF45" w14:textId="77777777" w:rsidR="00277E3F" w:rsidRPr="009D6E79" w:rsidRDefault="00277E3F" w:rsidP="00277E3F">
            <w:pPr>
              <w:pStyle w:val="ListParagraph"/>
              <w:numPr>
                <w:ilvl w:val="0"/>
                <w:numId w:val="17"/>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Sean Eric McLean Ho Tung v Hillhead Limited (HCMP 4511/2002)</w:t>
            </w:r>
          </w:p>
        </w:tc>
      </w:tr>
    </w:tbl>
    <w:p w14:paraId="4B17DB79" w14:textId="77777777" w:rsidR="00277E3F" w:rsidRPr="00277E3F" w:rsidRDefault="00277E3F" w:rsidP="00277E3F">
      <w:pPr>
        <w:spacing w:line="276" w:lineRule="auto"/>
        <w:contextualSpacing/>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77E3F" w:rsidRPr="007403AB" w14:paraId="5E62BD95" w14:textId="77777777" w:rsidTr="004E563A">
        <w:trPr>
          <w:trHeight w:val="1984"/>
          <w:jc w:val="center"/>
        </w:trPr>
        <w:tc>
          <w:tcPr>
            <w:tcW w:w="10773" w:type="dxa"/>
            <w:shd w:val="clear" w:color="auto" w:fill="FFFFFF" w:themeFill="background1"/>
            <w:vAlign w:val="center"/>
          </w:tcPr>
          <w:p w14:paraId="6D4B97D5" w14:textId="77777777" w:rsidR="00277E3F" w:rsidRPr="009D6E79"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lastRenderedPageBreak/>
              <w:t>Untrue affidavits may commit the criminal offence of perjury, and if not the primary offence, the attempted perjury offence.</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And unattended legal practitioners may facilitate perjury and to alert them, court cases will be illustrated so as to avoid the risk:</w:t>
            </w:r>
          </w:p>
          <w:p w14:paraId="080CAF48" w14:textId="77777777" w:rsidR="00277E3F" w:rsidRDefault="00277E3F" w:rsidP="00277E3F">
            <w:pPr>
              <w:pStyle w:val="ListParagraph"/>
              <w:numPr>
                <w:ilvl w:val="0"/>
                <w:numId w:val="18"/>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R v Robert Eli Low, HCMA1180/1996</w:t>
            </w:r>
          </w:p>
          <w:p w14:paraId="69AD1C05" w14:textId="77777777" w:rsidR="00277E3F" w:rsidRPr="009D6E79" w:rsidRDefault="00277E3F" w:rsidP="00277E3F">
            <w:pPr>
              <w:pStyle w:val="ListParagraph"/>
              <w:numPr>
                <w:ilvl w:val="0"/>
                <w:numId w:val="18"/>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HKSAR v. </w:t>
            </w:r>
            <w:proofErr w:type="spellStart"/>
            <w:r w:rsidRPr="009D6E79">
              <w:rPr>
                <w:rFonts w:ascii="Arial" w:eastAsia="Times New Roman" w:hAnsi="Arial" w:cs="Arial"/>
                <w:color w:val="6C6361"/>
                <w:sz w:val="20"/>
                <w:szCs w:val="20"/>
              </w:rPr>
              <w:t>Kanjanapas</w:t>
            </w:r>
            <w:proofErr w:type="spellEnd"/>
            <w:r w:rsidRPr="009D6E79">
              <w:rPr>
                <w:rFonts w:ascii="Arial" w:eastAsia="Times New Roman" w:hAnsi="Arial" w:cs="Arial"/>
                <w:color w:val="6C6361"/>
                <w:sz w:val="20"/>
                <w:szCs w:val="20"/>
              </w:rPr>
              <w:t xml:space="preserve"> Chong </w:t>
            </w:r>
            <w:proofErr w:type="spellStart"/>
            <w:r w:rsidRPr="009D6E79">
              <w:rPr>
                <w:rFonts w:ascii="Arial" w:eastAsia="Times New Roman" w:hAnsi="Arial" w:cs="Arial"/>
                <w:color w:val="6C6361"/>
                <w:sz w:val="20"/>
                <w:szCs w:val="20"/>
              </w:rPr>
              <w:t>Kwong</w:t>
            </w:r>
            <w:proofErr w:type="spellEnd"/>
            <w:r w:rsidRPr="009D6E79">
              <w:rPr>
                <w:rFonts w:ascii="Arial" w:eastAsia="Times New Roman" w:hAnsi="Arial" w:cs="Arial"/>
                <w:color w:val="6C6361"/>
                <w:sz w:val="20"/>
                <w:szCs w:val="20"/>
              </w:rPr>
              <w:t xml:space="preserve">, Derek </w:t>
            </w:r>
            <w:proofErr w:type="gramStart"/>
            <w:r w:rsidRPr="009D6E79">
              <w:rPr>
                <w:rFonts w:ascii="Arial" w:eastAsia="Times New Roman" w:hAnsi="Arial" w:cs="Arial"/>
                <w:color w:val="6C6361"/>
                <w:sz w:val="20"/>
                <w:szCs w:val="20"/>
              </w:rPr>
              <w:t>And</w:t>
            </w:r>
            <w:proofErr w:type="gramEnd"/>
            <w:r w:rsidRPr="009D6E79">
              <w:rPr>
                <w:rFonts w:ascii="Arial" w:eastAsia="Times New Roman" w:hAnsi="Arial" w:cs="Arial"/>
                <w:color w:val="6C6361"/>
                <w:sz w:val="20"/>
                <w:szCs w:val="20"/>
              </w:rPr>
              <w:t xml:space="preserve"> Others, DCCC 298/2005</w:t>
            </w:r>
          </w:p>
          <w:p w14:paraId="3118D4DE" w14:textId="77777777" w:rsidR="00277E3F" w:rsidRPr="009D6E79" w:rsidRDefault="00277E3F" w:rsidP="004E563A">
            <w:pPr>
              <w:spacing w:line="276" w:lineRule="auto"/>
              <w:rPr>
                <w:rFonts w:ascii="Arial" w:eastAsia="Times New Roman" w:hAnsi="Arial" w:cs="Arial"/>
                <w:color w:val="6C6361"/>
                <w:sz w:val="20"/>
                <w:szCs w:val="20"/>
              </w:rPr>
            </w:pPr>
          </w:p>
          <w:p w14:paraId="20AB1574" w14:textId="77777777" w:rsidR="00277E3F" w:rsidRPr="007403AB" w:rsidRDefault="00277E3F" w:rsidP="004E563A">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Speaker will also give practical tips on the subject.</w:t>
            </w:r>
          </w:p>
        </w:tc>
      </w:tr>
    </w:tbl>
    <w:p w14:paraId="0D0FF10C" w14:textId="77777777" w:rsidR="00277E3F" w:rsidRPr="007403AB" w:rsidRDefault="00277E3F" w:rsidP="00277E3F">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277E3F" w:rsidRPr="007403AB" w14:paraId="6BB95F8A" w14:textId="77777777" w:rsidTr="004E563A">
        <w:trPr>
          <w:trHeight w:val="397"/>
          <w:jc w:val="center"/>
        </w:trPr>
        <w:tc>
          <w:tcPr>
            <w:tcW w:w="10773" w:type="dxa"/>
            <w:gridSpan w:val="2"/>
            <w:tcBorders>
              <w:top w:val="nil"/>
              <w:bottom w:val="nil"/>
              <w:right w:val="nil"/>
            </w:tcBorders>
            <w:shd w:val="clear" w:color="auto" w:fill="F0EBE1"/>
            <w:vAlign w:val="center"/>
          </w:tcPr>
          <w:p w14:paraId="379F0CC3" w14:textId="77777777" w:rsidR="00277E3F" w:rsidRPr="007403AB" w:rsidRDefault="00277E3F" w:rsidP="004E563A">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277E3F" w:rsidRPr="007403AB" w14:paraId="3EA8AB14" w14:textId="77777777" w:rsidTr="004E563A">
        <w:trPr>
          <w:trHeight w:val="3838"/>
          <w:jc w:val="center"/>
        </w:trPr>
        <w:tc>
          <w:tcPr>
            <w:tcW w:w="8931" w:type="dxa"/>
            <w:tcBorders>
              <w:top w:val="nil"/>
              <w:bottom w:val="nil"/>
              <w:right w:val="nil"/>
            </w:tcBorders>
            <w:shd w:val="clear" w:color="auto" w:fill="FFFFFF"/>
            <w:vAlign w:val="center"/>
          </w:tcPr>
          <w:p w14:paraId="41933502"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Oaths</w:t>
            </w:r>
          </w:p>
          <w:p w14:paraId="47655B94"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Affidavits &amp; Solemn Affirmations in Writing</w:t>
            </w:r>
          </w:p>
          <w:p w14:paraId="16770C0B"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Statutory Declarations</w:t>
            </w:r>
          </w:p>
          <w:p w14:paraId="7015BC36"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Use of English or Chinese</w:t>
            </w:r>
          </w:p>
          <w:p w14:paraId="0CE268FE"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Relaxed Evidence in Hearings</w:t>
            </w:r>
          </w:p>
          <w:p w14:paraId="64E29809"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Person Entitled to Administer Oath etc</w:t>
            </w:r>
            <w:r>
              <w:rPr>
                <w:rFonts w:ascii="Arial" w:hAnsi="Arial" w:cs="Arial"/>
                <w:color w:val="6C6361"/>
                <w:sz w:val="20"/>
                <w:szCs w:val="20"/>
              </w:rPr>
              <w:t>.</w:t>
            </w:r>
            <w:r w:rsidRPr="009D6E79">
              <w:rPr>
                <w:rFonts w:ascii="Arial" w:hAnsi="Arial" w:cs="Arial"/>
                <w:color w:val="6C6361"/>
                <w:sz w:val="20"/>
                <w:szCs w:val="20"/>
              </w:rPr>
              <w:t xml:space="preserve"> Out of Court</w:t>
            </w:r>
          </w:p>
          <w:p w14:paraId="63EF8136"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Proof of Cross Border Affidavits/Declarations</w:t>
            </w:r>
          </w:p>
          <w:p w14:paraId="763CDCB1"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Case Studies of Affidavits/Statutory Declarations</w:t>
            </w:r>
          </w:p>
          <w:p w14:paraId="17EB579B"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Tips</w:t>
            </w:r>
          </w:p>
          <w:p w14:paraId="3A8C9EF7"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Other Matters</w:t>
            </w:r>
          </w:p>
          <w:p w14:paraId="3FBB3269"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 Acknowledgement</w:t>
            </w:r>
          </w:p>
          <w:p w14:paraId="0B89C754" w14:textId="77777777" w:rsidR="00277E3F" w:rsidRPr="009D6E79"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Offences</w:t>
            </w:r>
          </w:p>
          <w:p w14:paraId="3FB0AB8C" w14:textId="77777777" w:rsidR="00277E3F" w:rsidRDefault="00277E3F" w:rsidP="004E563A">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Real Life Experience During Covid-19</w:t>
            </w:r>
          </w:p>
          <w:p w14:paraId="77B1DF04" w14:textId="77777777" w:rsidR="00277E3F" w:rsidRDefault="00277E3F" w:rsidP="004E563A">
            <w:pPr>
              <w:pStyle w:val="ListParagraph"/>
              <w:numPr>
                <w:ilvl w:val="0"/>
                <w:numId w:val="2"/>
              </w:numPr>
              <w:spacing w:line="276" w:lineRule="auto"/>
              <w:ind w:right="-92"/>
              <w:jc w:val="left"/>
              <w:rPr>
                <w:rFonts w:ascii="Arial" w:hAnsi="Arial" w:cs="Arial"/>
                <w:color w:val="6C6361"/>
                <w:sz w:val="20"/>
                <w:szCs w:val="20"/>
              </w:rPr>
            </w:pPr>
            <w:r w:rsidRPr="00BC6CFB">
              <w:rPr>
                <w:rFonts w:ascii="Arial" w:hAnsi="Arial" w:cs="Arial"/>
                <w:color w:val="6C6361"/>
                <w:sz w:val="20"/>
                <w:szCs w:val="20"/>
              </w:rPr>
              <w:t xml:space="preserve">Speaker's </w:t>
            </w:r>
            <w:r>
              <w:rPr>
                <w:rFonts w:ascii="Arial" w:hAnsi="Arial" w:cs="Arial"/>
                <w:color w:val="6C6361"/>
                <w:sz w:val="20"/>
                <w:szCs w:val="20"/>
              </w:rPr>
              <w:t>D</w:t>
            </w:r>
            <w:r w:rsidRPr="00BC6CFB">
              <w:rPr>
                <w:rFonts w:ascii="Arial" w:hAnsi="Arial" w:cs="Arial"/>
                <w:color w:val="6C6361"/>
                <w:sz w:val="20"/>
                <w:szCs w:val="20"/>
              </w:rPr>
              <w:t>emonstration</w:t>
            </w:r>
          </w:p>
          <w:p w14:paraId="7DC58F64" w14:textId="77777777" w:rsidR="00277E3F" w:rsidRPr="007403AB" w:rsidRDefault="00277E3F" w:rsidP="004E563A">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1F1AE1BF" w14:textId="77777777" w:rsidR="00277E3F" w:rsidRPr="009D6E79" w:rsidRDefault="00277E3F" w:rsidP="004E563A">
            <w:pPr>
              <w:spacing w:line="276" w:lineRule="auto"/>
              <w:ind w:right="-92"/>
              <w:jc w:val="center"/>
              <w:rPr>
                <w:rFonts w:ascii="Arial" w:hAnsi="Arial" w:cs="Arial"/>
                <w:color w:val="6C6361"/>
                <w:sz w:val="20"/>
                <w:szCs w:val="20"/>
              </w:rPr>
            </w:pPr>
          </w:p>
          <w:p w14:paraId="65531DF2" w14:textId="77777777" w:rsidR="00277E3F" w:rsidRPr="009D6E79" w:rsidRDefault="00277E3F" w:rsidP="004E563A">
            <w:pPr>
              <w:spacing w:line="276" w:lineRule="auto"/>
              <w:ind w:right="-92"/>
              <w:jc w:val="center"/>
              <w:rPr>
                <w:rFonts w:ascii="Arial" w:hAnsi="Arial" w:cs="Arial"/>
                <w:color w:val="6C6361"/>
                <w:sz w:val="20"/>
                <w:szCs w:val="20"/>
              </w:rPr>
            </w:pPr>
          </w:p>
          <w:p w14:paraId="40B0CAA5" w14:textId="77777777" w:rsidR="00277E3F" w:rsidRPr="009D6E79" w:rsidRDefault="00277E3F" w:rsidP="004E563A">
            <w:pPr>
              <w:spacing w:line="276" w:lineRule="auto"/>
              <w:ind w:right="-92"/>
              <w:jc w:val="center"/>
              <w:rPr>
                <w:rFonts w:ascii="Arial" w:hAnsi="Arial" w:cs="Arial"/>
                <w:color w:val="6C6361"/>
                <w:sz w:val="20"/>
                <w:szCs w:val="20"/>
              </w:rPr>
            </w:pPr>
          </w:p>
          <w:p w14:paraId="595AEDD6" w14:textId="77777777" w:rsidR="00277E3F" w:rsidRPr="009D6E79" w:rsidRDefault="00277E3F" w:rsidP="004E563A">
            <w:pPr>
              <w:spacing w:line="276" w:lineRule="auto"/>
              <w:ind w:right="-92"/>
              <w:jc w:val="center"/>
              <w:rPr>
                <w:rFonts w:ascii="Arial" w:hAnsi="Arial" w:cs="Arial"/>
                <w:color w:val="6C6361"/>
                <w:sz w:val="20"/>
                <w:szCs w:val="20"/>
              </w:rPr>
            </w:pPr>
          </w:p>
          <w:p w14:paraId="1063190A" w14:textId="77777777" w:rsidR="00277E3F" w:rsidRDefault="00277E3F" w:rsidP="004E563A">
            <w:pPr>
              <w:spacing w:line="276" w:lineRule="auto"/>
              <w:ind w:right="-92"/>
              <w:jc w:val="center"/>
              <w:rPr>
                <w:rFonts w:ascii="Arial" w:hAnsi="Arial" w:cs="Arial"/>
                <w:color w:val="6C6361"/>
                <w:sz w:val="20"/>
                <w:szCs w:val="20"/>
              </w:rPr>
            </w:pPr>
          </w:p>
          <w:p w14:paraId="44C4567F" w14:textId="77777777" w:rsidR="00277E3F" w:rsidRPr="009D6E79" w:rsidRDefault="00277E3F" w:rsidP="004E563A">
            <w:pPr>
              <w:spacing w:line="276" w:lineRule="auto"/>
              <w:ind w:right="-92"/>
              <w:jc w:val="center"/>
              <w:rPr>
                <w:rFonts w:ascii="Arial" w:hAnsi="Arial" w:cs="Arial"/>
                <w:color w:val="6C6361"/>
                <w:sz w:val="20"/>
                <w:szCs w:val="20"/>
              </w:rPr>
            </w:pPr>
          </w:p>
          <w:p w14:paraId="3B371304" w14:textId="77777777" w:rsidR="00277E3F" w:rsidRPr="009D6E79" w:rsidRDefault="00277E3F" w:rsidP="004E563A">
            <w:pPr>
              <w:spacing w:line="276" w:lineRule="auto"/>
              <w:ind w:right="-92"/>
              <w:jc w:val="center"/>
              <w:rPr>
                <w:rFonts w:ascii="Arial" w:hAnsi="Arial" w:cs="Arial"/>
                <w:color w:val="6C6361"/>
                <w:sz w:val="20"/>
                <w:szCs w:val="20"/>
              </w:rPr>
            </w:pPr>
          </w:p>
          <w:p w14:paraId="4AE141DD" w14:textId="77777777" w:rsidR="00277E3F" w:rsidRPr="007403AB" w:rsidRDefault="00277E3F" w:rsidP="004E563A">
            <w:pPr>
              <w:spacing w:line="276" w:lineRule="auto"/>
              <w:ind w:right="-92"/>
              <w:jc w:val="center"/>
              <w:rPr>
                <w:rFonts w:ascii="Arial" w:hAnsi="Arial" w:cs="Arial"/>
                <w:color w:val="6C6361"/>
                <w:sz w:val="20"/>
                <w:szCs w:val="20"/>
              </w:rPr>
            </w:pPr>
            <w:r w:rsidRPr="007403AB">
              <w:rPr>
                <w:rFonts w:ascii="Arial" w:hAnsi="Arial" w:cs="Arial"/>
                <w:noProof/>
                <w:color w:val="6C6361"/>
                <w:sz w:val="20"/>
                <w:szCs w:val="20"/>
              </w:rPr>
              <w:drawing>
                <wp:inline distT="0" distB="0" distL="0" distR="0" wp14:anchorId="1CBA3381" wp14:editId="2E569051">
                  <wp:extent cx="892797" cy="1021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7" cy="1021687"/>
                          </a:xfrm>
                          <a:prstGeom prst="rect">
                            <a:avLst/>
                          </a:prstGeom>
                        </pic:spPr>
                      </pic:pic>
                    </a:graphicData>
                  </a:graphic>
                </wp:inline>
              </w:drawing>
            </w:r>
          </w:p>
        </w:tc>
      </w:tr>
    </w:tbl>
    <w:p w14:paraId="6AD8DDF4" w14:textId="77777777" w:rsidR="00277E3F" w:rsidRPr="00C64D42" w:rsidRDefault="00277E3F"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277E3F"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2F56371C"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51BA769D"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EVT000000394</w:t>
            </w:r>
          </w:p>
        </w:tc>
        <w:tc>
          <w:tcPr>
            <w:tcW w:w="1701" w:type="dxa"/>
            <w:tcBorders>
              <w:top w:val="nil"/>
              <w:bottom w:val="single" w:sz="12" w:space="0" w:color="FFFFFF"/>
            </w:tcBorders>
            <w:shd w:val="clear" w:color="auto" w:fill="F0EBE1"/>
            <w:vAlign w:val="center"/>
          </w:tcPr>
          <w:p w14:paraId="73E43897" w14:textId="40151BEA"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1FF2AC9D"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77E3F"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6D3930EE"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7A6A76EC"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June 2023 (Thursday</w:t>
            </w:r>
            <w:r>
              <w:rPr>
                <w:rFonts w:ascii="Arial" w:eastAsia="Times New Roman" w:hAnsi="Arial" w:cs="Arial"/>
                <w:b/>
                <w:noProof/>
                <w:color w:val="6C6361"/>
                <w:sz w:val="20"/>
                <w:szCs w:val="20"/>
              </w:rPr>
              <w:t>)</w:t>
            </w:r>
          </w:p>
        </w:tc>
        <w:tc>
          <w:tcPr>
            <w:tcW w:w="1701" w:type="dxa"/>
            <w:tcBorders>
              <w:top w:val="single" w:sz="12" w:space="0" w:color="FFFFFF"/>
              <w:bottom w:val="single" w:sz="12" w:space="0" w:color="FFFFFF"/>
            </w:tcBorders>
            <w:shd w:val="clear" w:color="auto" w:fill="F0EBE1"/>
            <w:vAlign w:val="center"/>
          </w:tcPr>
          <w:p w14:paraId="45602E14" w14:textId="697EE0EE"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3B21D14" w14:textId="77777777" w:rsidR="00277E3F"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73126194"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277E3F"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76E99DE9"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108FCA34" w14:textId="77777777" w:rsidR="00277E3F"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 (Amended)</w:t>
            </w:r>
          </w:p>
          <w:p w14:paraId="4B2B2D30" w14:textId="774CD7AC"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07102184" w:rsidR="00277E3F" w:rsidRPr="00320F79"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AC88A6B" w14:textId="77777777" w:rsidR="00277E3F"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RME Elective Hours</w:t>
            </w:r>
          </w:p>
          <w:p w14:paraId="6570EED2" w14:textId="5A730349" w:rsidR="00277E3F" w:rsidRPr="00E843DA" w:rsidRDefault="00277E3F" w:rsidP="0027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1EE9" w14:textId="77777777" w:rsidR="005F6DCC" w:rsidRDefault="005F6DCC" w:rsidP="00546556">
      <w:r>
        <w:separator/>
      </w:r>
    </w:p>
  </w:endnote>
  <w:endnote w:type="continuationSeparator" w:id="0">
    <w:p w14:paraId="6C461A70" w14:textId="77777777" w:rsidR="005F6DCC" w:rsidRDefault="005F6DC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85AA" w14:textId="77777777" w:rsidR="005F6DCC" w:rsidRDefault="005F6DCC" w:rsidP="00546556">
      <w:r>
        <w:separator/>
      </w:r>
    </w:p>
  </w:footnote>
  <w:footnote w:type="continuationSeparator" w:id="0">
    <w:p w14:paraId="664359A6" w14:textId="77777777" w:rsidR="005F6DCC" w:rsidRDefault="005F6DC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0536A29"/>
    <w:multiLevelType w:val="hybridMultilevel"/>
    <w:tmpl w:val="CDC82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4B956C9"/>
    <w:multiLevelType w:val="hybridMultilevel"/>
    <w:tmpl w:val="368A9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3"/>
  </w:num>
  <w:num w:numId="5">
    <w:abstractNumId w:val="5"/>
  </w:num>
  <w:num w:numId="6">
    <w:abstractNumId w:val="15"/>
  </w:num>
  <w:num w:numId="7">
    <w:abstractNumId w:val="4"/>
  </w:num>
  <w:num w:numId="8">
    <w:abstractNumId w:val="16"/>
  </w:num>
  <w:num w:numId="9">
    <w:abstractNumId w:val="17"/>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w2NUHRo+L0q4sW+y5dQ05qmmIt+RTWSHb5JF447kH1YZi60EUcFbgl7duP7Kd8S1ZCpj2AMu/rTx3qG/mjmXpQ==" w:salt="ki2EYKUC7jd+p6lNTnhwp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5BE1"/>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E3F"/>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DCC"/>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7C"/>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32F2"/>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133"/>
    <w:rsid w:val="00BA38C5"/>
    <w:rsid w:val="00BA43C2"/>
    <w:rsid w:val="00BA7425"/>
    <w:rsid w:val="00BA7696"/>
    <w:rsid w:val="00BA79F2"/>
    <w:rsid w:val="00BB0852"/>
    <w:rsid w:val="00BB150A"/>
    <w:rsid w:val="00BB3358"/>
    <w:rsid w:val="00BB50BC"/>
    <w:rsid w:val="00BB6FBA"/>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9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Oaths, Affidavits and Declarations: Local and Foreign Issues</vt:lpstr>
    </vt:vector>
  </TitlesOfParts>
  <Manager>Tyrone Tsang</Manager>
  <Company>The Profectional Company Limited</Company>
  <LinksUpToDate>false</LinksUpToDate>
  <CharactersWithSpaces>4095</CharactersWithSpaces>
  <SharedDoc>false</SharedDoc>
  <HyperlinkBase>http://download.profectional.com/events/EVT000000394.docx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Oaths, Affidavits and Declarations: Local and Foreign Issues</dc:title>
  <dc:subject>CPD Course, RME Elective Course: Oaths, Affidavits and Declarations: Local and Foreign Issues</dc:subject>
  <dc:creator>The Profectional Company Limited</dc:creator>
  <cp:keywords>Profectional; Kornerstone; CPD; CPT; CLE; CE; RME; Samuel Li; Solicitor; Notary Public; Samuel Li &amp; Co.; Solicitors &amp; Notaries</cp:keywords>
  <dc:description/>
  <cp:lastModifiedBy>Tyrone Tsang</cp:lastModifiedBy>
  <cp:revision>69</cp:revision>
  <cp:lastPrinted>2023-06-08T06:56:00Z</cp:lastPrinted>
  <dcterms:created xsi:type="dcterms:W3CDTF">2017-01-12T02:41:00Z</dcterms:created>
  <dcterms:modified xsi:type="dcterms:W3CDTF">2023-06-08T06:56:00Z</dcterms:modified>
  <cp:category/>
</cp:coreProperties>
</file>