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96D5E" w14:textId="77777777" w:rsidR="003A2281" w:rsidRPr="003A2281" w:rsidRDefault="003A2281" w:rsidP="003A228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3A2281" w:rsidRPr="00523A64" w14:paraId="015C09DE" w14:textId="77777777" w:rsidTr="0093443B">
        <w:trPr>
          <w:trHeight w:val="3119"/>
          <w:jc w:val="center"/>
        </w:trPr>
        <w:tc>
          <w:tcPr>
            <w:tcW w:w="4820" w:type="dxa"/>
            <w:shd w:val="clear" w:color="auto" w:fill="FFFFFF"/>
            <w:vAlign w:val="center"/>
          </w:tcPr>
          <w:p w14:paraId="7895810B" w14:textId="77777777" w:rsidR="003A2281" w:rsidRPr="001A3018" w:rsidRDefault="003A2281" w:rsidP="0093443B">
            <w:pPr>
              <w:jc w:val="center"/>
              <w:rPr>
                <w:rFonts w:ascii="Arial" w:hAnsi="Arial" w:cs="Arial"/>
                <w:b/>
                <w:bCs/>
                <w:color w:val="524B48"/>
                <w:sz w:val="4"/>
                <w:szCs w:val="4"/>
              </w:rPr>
            </w:pPr>
          </w:p>
          <w:p w14:paraId="1A84714B" w14:textId="77777777" w:rsidR="003A2281" w:rsidRPr="00CF685C" w:rsidRDefault="003A2281" w:rsidP="0093443B">
            <w:pPr>
              <w:jc w:val="center"/>
              <w:rPr>
                <w:rStyle w:val="Hyperlink"/>
                <w:rFonts w:ascii="Arial" w:hAnsi="Arial" w:cs="Arial"/>
                <w:b/>
                <w:bCs/>
                <w:color w:val="524B48"/>
                <w:sz w:val="32"/>
                <w:szCs w:val="32"/>
                <w:u w:val="none"/>
              </w:rPr>
            </w:pPr>
            <w:r w:rsidRPr="00CF685C">
              <w:fldChar w:fldCharType="begin"/>
            </w:r>
            <w:r>
              <w:instrText>HYPERLINK "http://cpd.hk/evt000000409/"</w:instrText>
            </w:r>
            <w:r w:rsidRPr="00CF685C">
              <w:fldChar w:fldCharType="separate"/>
            </w:r>
            <w:r w:rsidRPr="00A928A2">
              <w:rPr>
                <w:rStyle w:val="Hyperlink"/>
                <w:rFonts w:ascii="Arial" w:hAnsi="Arial" w:cs="Arial"/>
                <w:b/>
                <w:bCs/>
                <w:color w:val="524B48"/>
                <w:sz w:val="32"/>
                <w:szCs w:val="32"/>
                <w:u w:val="none"/>
              </w:rPr>
              <w:t>Conflicts of Interest</w:t>
            </w:r>
            <w:r>
              <w:rPr>
                <w:rStyle w:val="Hyperlink"/>
                <w:rFonts w:ascii="Arial" w:hAnsi="Arial" w:cs="Arial"/>
                <w:b/>
                <w:bCs/>
                <w:color w:val="524B48"/>
                <w:sz w:val="32"/>
                <w:szCs w:val="32"/>
                <w:u w:val="none"/>
              </w:rPr>
              <w:br/>
            </w:r>
            <w:r w:rsidRPr="00A928A2">
              <w:rPr>
                <w:rStyle w:val="Hyperlink"/>
                <w:rFonts w:ascii="Arial" w:hAnsi="Arial" w:cs="Arial"/>
                <w:b/>
                <w:bCs/>
                <w:color w:val="524B48"/>
                <w:sz w:val="32"/>
                <w:szCs w:val="32"/>
                <w:u w:val="none"/>
              </w:rPr>
              <w:t>&amp; Engagement Terms</w:t>
            </w:r>
          </w:p>
          <w:p w14:paraId="65FB0C1B" w14:textId="77777777" w:rsidR="003A2281" w:rsidRPr="00C65AFD" w:rsidRDefault="003A2281" w:rsidP="0093443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B0C5B0C" w14:textId="77777777" w:rsidR="003A2281" w:rsidRPr="00C65AFD" w:rsidRDefault="003A2281" w:rsidP="0093443B">
            <w:pPr>
              <w:jc w:val="center"/>
              <w:rPr>
                <w:rFonts w:ascii="Arial" w:hAnsi="Arial" w:cs="Arial"/>
                <w:i/>
                <w:color w:val="6C6361"/>
                <w:sz w:val="24"/>
                <w:szCs w:val="24"/>
              </w:rPr>
            </w:pPr>
            <w:r w:rsidRPr="00C65AFD">
              <w:rPr>
                <w:rFonts w:ascii="Arial" w:hAnsi="Arial" w:cs="Arial"/>
                <w:i/>
                <w:color w:val="6C6361"/>
                <w:sz w:val="24"/>
                <w:szCs w:val="24"/>
              </w:rPr>
              <w:t>by</w:t>
            </w:r>
          </w:p>
          <w:p w14:paraId="540DC322" w14:textId="77777777" w:rsidR="003A2281" w:rsidRDefault="003A2281" w:rsidP="0093443B">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John</w:t>
              </w:r>
            </w:hyperlink>
            <w:r>
              <w:rPr>
                <w:rStyle w:val="Hyperlink"/>
                <w:rFonts w:ascii="Arial" w:hAnsi="Arial" w:cs="Arial"/>
                <w:color w:val="6C6361"/>
                <w:sz w:val="24"/>
                <w:szCs w:val="24"/>
                <w:u w:val="none"/>
              </w:rPr>
              <w:t xml:space="preserve"> Lee</w:t>
            </w:r>
            <w:r w:rsidRPr="00A35F54">
              <w:rPr>
                <w:rFonts w:ascii="Arial" w:hAnsi="Arial" w:cs="Arial"/>
                <w:color w:val="6C6361"/>
                <w:sz w:val="24"/>
                <w:szCs w:val="24"/>
              </w:rPr>
              <w:t>,</w:t>
            </w:r>
          </w:p>
          <w:p w14:paraId="2F03DF39" w14:textId="77777777" w:rsidR="003A2281" w:rsidRDefault="003A2281" w:rsidP="0093443B">
            <w:pPr>
              <w:jc w:val="center"/>
              <w:rPr>
                <w:rFonts w:ascii="Arial" w:hAnsi="Arial" w:cs="Arial"/>
                <w:color w:val="6C6361"/>
                <w:sz w:val="24"/>
                <w:szCs w:val="24"/>
              </w:rPr>
            </w:pPr>
            <w:r>
              <w:rPr>
                <w:rFonts w:ascii="Arial" w:hAnsi="Arial" w:cs="Arial"/>
                <w:color w:val="6C6361"/>
                <w:sz w:val="24"/>
                <w:szCs w:val="24"/>
              </w:rPr>
              <w:t>BBA(Hons), JD, CAMS, FICA, CCI,</w:t>
            </w:r>
          </w:p>
          <w:p w14:paraId="42974873" w14:textId="77777777" w:rsidR="003A2281" w:rsidRDefault="003A2281" w:rsidP="0093443B">
            <w:pPr>
              <w:jc w:val="center"/>
              <w:rPr>
                <w:rFonts w:ascii="Arial" w:hAnsi="Arial" w:cs="Arial"/>
                <w:color w:val="6C6361"/>
                <w:sz w:val="24"/>
                <w:szCs w:val="24"/>
              </w:rPr>
            </w:pPr>
            <w:r>
              <w:rPr>
                <w:rFonts w:ascii="Arial" w:hAnsi="Arial" w:cs="Arial"/>
                <w:color w:val="6C6361"/>
                <w:sz w:val="24"/>
                <w:szCs w:val="24"/>
              </w:rPr>
              <w:t>Adjunct Associate Professor of Law,</w:t>
            </w:r>
          </w:p>
          <w:p w14:paraId="40C34D34" w14:textId="77777777" w:rsidR="003A2281" w:rsidRDefault="003A2281" w:rsidP="0093443B">
            <w:pPr>
              <w:jc w:val="center"/>
              <w:rPr>
                <w:rFonts w:ascii="Arial" w:hAnsi="Arial" w:cs="Arial"/>
                <w:color w:val="6C6361"/>
                <w:sz w:val="24"/>
                <w:szCs w:val="24"/>
              </w:rPr>
            </w:pPr>
            <w:r>
              <w:rPr>
                <w:rFonts w:ascii="Arial" w:hAnsi="Arial" w:cs="Arial"/>
                <w:color w:val="6C6361"/>
                <w:sz w:val="24"/>
                <w:szCs w:val="24"/>
              </w:rPr>
              <w:t>The University of Hong Kong</w:t>
            </w:r>
          </w:p>
          <w:p w14:paraId="1F758D2C" w14:textId="77777777" w:rsidR="003A2281" w:rsidRPr="00D87ECF" w:rsidRDefault="003A2281" w:rsidP="0093443B">
            <w:pPr>
              <w:jc w:val="center"/>
              <w:rPr>
                <w:rFonts w:ascii="Arial" w:hAnsi="Arial" w:cs="Arial"/>
                <w:color w:val="6C6361"/>
                <w:sz w:val="8"/>
                <w:szCs w:val="8"/>
              </w:rPr>
            </w:pPr>
          </w:p>
        </w:tc>
        <w:tc>
          <w:tcPr>
            <w:tcW w:w="5954" w:type="dxa"/>
            <w:shd w:val="clear" w:color="auto" w:fill="FFFFFF"/>
            <w:vAlign w:val="center"/>
          </w:tcPr>
          <w:p w14:paraId="7BB59D2F" w14:textId="77777777" w:rsidR="003A2281" w:rsidRPr="00D50772" w:rsidRDefault="003A2281" w:rsidP="0093443B">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309C69EF" wp14:editId="7B98B450">
                  <wp:simplePos x="0" y="0"/>
                  <wp:positionH relativeFrom="column">
                    <wp:posOffset>3174365</wp:posOffset>
                  </wp:positionH>
                  <wp:positionV relativeFrom="paragraph">
                    <wp:posOffset>-55245</wp:posOffset>
                  </wp:positionV>
                  <wp:extent cx="539750" cy="539750"/>
                  <wp:effectExtent l="0" t="0" r="6350" b="6350"/>
                  <wp:wrapNone/>
                  <wp:docPr id="3" name="Graphic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C4A4DA3" wp14:editId="3991215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2F32B71" w14:textId="77777777" w:rsidR="003A2281" w:rsidRPr="00741E33" w:rsidRDefault="003A2281" w:rsidP="003A2281">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3A2281" w:rsidRPr="007C441E" w14:paraId="5F854CBB" w14:textId="77777777" w:rsidTr="0093443B">
        <w:trPr>
          <w:trHeight w:val="4980"/>
          <w:jc w:val="center"/>
        </w:trPr>
        <w:tc>
          <w:tcPr>
            <w:tcW w:w="1985" w:type="dxa"/>
            <w:shd w:val="clear" w:color="auto" w:fill="FFFFFF"/>
            <w:vAlign w:val="center"/>
          </w:tcPr>
          <w:p w14:paraId="05D664D3" w14:textId="77777777" w:rsidR="003A2281" w:rsidRPr="007C441E" w:rsidRDefault="003A2281" w:rsidP="0093443B">
            <w:pPr>
              <w:spacing w:line="276" w:lineRule="auto"/>
              <w:jc w:val="center"/>
              <w:rPr>
                <w:rFonts w:ascii="Arial" w:hAnsi="Arial" w:cs="Arial"/>
                <w:sz w:val="24"/>
                <w:szCs w:val="24"/>
              </w:rPr>
            </w:pPr>
            <w:r w:rsidRPr="007C441E">
              <w:rPr>
                <w:rFonts w:ascii="Arial" w:hAnsi="Arial" w:cs="Arial"/>
                <w:noProof/>
                <w:sz w:val="24"/>
                <w:szCs w:val="24"/>
              </w:rPr>
              <w:drawing>
                <wp:inline distT="0" distB="0" distL="0" distR="0" wp14:anchorId="0FB89FC9" wp14:editId="38D696B2">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hlinkClick r:id="rId8"/>
                          </pic:cNvPr>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0CE69845" w14:textId="77777777" w:rsidR="003A2281" w:rsidRPr="007C441E" w:rsidRDefault="003A2281" w:rsidP="0093443B">
            <w:pPr>
              <w:rPr>
                <w:rFonts w:ascii="Arial" w:hAnsi="Arial" w:cs="Arial"/>
                <w:color w:val="6C6361"/>
                <w:sz w:val="24"/>
                <w:szCs w:val="24"/>
              </w:rPr>
            </w:pPr>
            <w:r w:rsidRPr="007C441E">
              <w:rPr>
                <w:rFonts w:ascii="Arial" w:hAnsi="Arial" w:cs="Arial"/>
                <w:color w:val="6C6361"/>
                <w:sz w:val="24"/>
                <w:szCs w:val="24"/>
              </w:rPr>
              <w:t>John is an Adjunct Associate Professor of Law at The University of Hong Kong, responsible for designing and delivering postgraduate law courses on financial crime compliance, anti-money laundering and counter-terrorist financing, white collar crime, and sanctions.  In addition, he is a seasoned compliance practitioner who has worked at a number of international law firms.  With more than 15 years of experience, he regularly advises partners, lawyers, and business services professionals on different professional conduct issues and internal risk management matters (e.g., conflicts of interest, anti-money laundering, operational risk management, professional ethics).</w:t>
            </w:r>
          </w:p>
          <w:p w14:paraId="056C4997" w14:textId="77777777" w:rsidR="003A2281" w:rsidRPr="007C441E" w:rsidRDefault="003A2281" w:rsidP="0093443B">
            <w:pPr>
              <w:rPr>
                <w:rFonts w:ascii="Arial" w:hAnsi="Arial" w:cs="Arial"/>
                <w:color w:val="6C6361"/>
                <w:sz w:val="12"/>
                <w:szCs w:val="12"/>
              </w:rPr>
            </w:pPr>
          </w:p>
          <w:p w14:paraId="264FD403" w14:textId="77777777" w:rsidR="003A2281" w:rsidRPr="007C441E" w:rsidRDefault="003A2281" w:rsidP="0093443B">
            <w:pPr>
              <w:rPr>
                <w:rFonts w:ascii="Arial" w:hAnsi="Arial" w:cs="Arial"/>
                <w:color w:val="6C6361"/>
                <w:sz w:val="24"/>
                <w:szCs w:val="24"/>
              </w:rPr>
            </w:pPr>
            <w:r w:rsidRPr="007C441E">
              <w:rPr>
                <w:rFonts w:ascii="Arial" w:hAnsi="Arial" w:cs="Arial"/>
                <w:color w:val="6C6361"/>
                <w:sz w:val="24"/>
                <w:szCs w:val="24"/>
              </w:rPr>
              <w:t xml:space="preserve">John obtained his Bachelor of Business Administration (with first class </w:t>
            </w:r>
            <w:proofErr w:type="spellStart"/>
            <w:r w:rsidRPr="007C441E">
              <w:rPr>
                <w:rFonts w:ascii="Arial" w:hAnsi="Arial" w:cs="Arial"/>
                <w:color w:val="6C6361"/>
                <w:sz w:val="24"/>
                <w:szCs w:val="24"/>
              </w:rPr>
              <w:t>honours</w:t>
            </w:r>
            <w:proofErr w:type="spellEnd"/>
            <w:r w:rsidRPr="007C441E">
              <w:rPr>
                <w:rFonts w:ascii="Arial" w:hAnsi="Arial" w:cs="Arial"/>
                <w:color w:val="6C6361"/>
                <w:sz w:val="24"/>
                <w:szCs w:val="24"/>
              </w:rPr>
              <w:t>) and Juris Doctor from The Chinese University of Hong Kong.  He is a fellow and external examiner of the International Compliance Association.  In addition, he is a part-time doctoral candidate at the Faculty of Law of The University of Hong Kong.  Recently, he successfully defended his doctoral thesis titled “Integrated Professionalism and Ethical Infrastructures for Managing Conflicts of Interests Issues: A Study of International Law Firm Lawyers in Hong Kong and Singapore”.</w:t>
            </w:r>
          </w:p>
        </w:tc>
      </w:tr>
    </w:tbl>
    <w:p w14:paraId="17DD9361" w14:textId="77777777" w:rsidR="003A2281" w:rsidRDefault="003A2281" w:rsidP="003A2281">
      <w:pPr>
        <w:spacing w:line="276" w:lineRule="auto"/>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3A2281" w:rsidRPr="007C441E" w14:paraId="538A45A2" w14:textId="77777777" w:rsidTr="0093443B">
        <w:trPr>
          <w:trHeight w:val="4121"/>
          <w:jc w:val="center"/>
        </w:trPr>
        <w:tc>
          <w:tcPr>
            <w:tcW w:w="10773" w:type="dxa"/>
            <w:tcBorders>
              <w:top w:val="nil"/>
              <w:bottom w:val="nil"/>
              <w:right w:val="nil"/>
            </w:tcBorders>
            <w:shd w:val="clear" w:color="auto" w:fill="FFFFFF" w:themeFill="background1"/>
            <w:vAlign w:val="center"/>
          </w:tcPr>
          <w:p w14:paraId="2A6BA3DE" w14:textId="77777777" w:rsidR="003A2281" w:rsidRPr="007C441E" w:rsidRDefault="003A2281" w:rsidP="0093443B">
            <w:pPr>
              <w:ind w:right="33"/>
              <w:rPr>
                <w:rFonts w:ascii="Arial" w:hAnsi="Arial" w:cs="Arial"/>
                <w:color w:val="6C6361"/>
                <w:sz w:val="24"/>
                <w:szCs w:val="24"/>
              </w:rPr>
            </w:pPr>
            <w:r w:rsidRPr="007C441E">
              <w:rPr>
                <w:rFonts w:ascii="Arial" w:hAnsi="Arial" w:cs="Arial"/>
                <w:color w:val="6C6361"/>
                <w:sz w:val="24"/>
                <w:szCs w:val="24"/>
              </w:rPr>
              <w:t>This three-hour seminar is divided into two parts.</w:t>
            </w:r>
          </w:p>
          <w:p w14:paraId="7E7A34E4" w14:textId="77777777" w:rsidR="003A2281" w:rsidRPr="007C441E" w:rsidRDefault="003A2281" w:rsidP="0093443B">
            <w:pPr>
              <w:ind w:right="33"/>
              <w:rPr>
                <w:rFonts w:ascii="Arial" w:hAnsi="Arial" w:cs="Arial"/>
                <w:color w:val="6C6361"/>
                <w:sz w:val="12"/>
                <w:szCs w:val="12"/>
              </w:rPr>
            </w:pPr>
          </w:p>
          <w:p w14:paraId="314C0657" w14:textId="77777777" w:rsidR="003A2281" w:rsidRPr="007C441E" w:rsidRDefault="003A2281" w:rsidP="0093443B">
            <w:pPr>
              <w:ind w:right="33"/>
              <w:rPr>
                <w:rFonts w:ascii="Arial" w:hAnsi="Arial" w:cs="Arial"/>
                <w:color w:val="6C6361"/>
                <w:sz w:val="24"/>
                <w:szCs w:val="24"/>
              </w:rPr>
            </w:pPr>
            <w:r w:rsidRPr="007C441E">
              <w:rPr>
                <w:rFonts w:ascii="Arial" w:hAnsi="Arial" w:cs="Arial"/>
                <w:color w:val="6C6361"/>
                <w:sz w:val="24"/>
                <w:szCs w:val="24"/>
              </w:rPr>
              <w:t xml:space="preserve">In the first part, the main types of conflicts of interest encountered by lawyers and their firms and sources of conflicts rules will be highlighted.  Through </w:t>
            </w:r>
            <w:proofErr w:type="spellStart"/>
            <w:r w:rsidRPr="007C441E">
              <w:rPr>
                <w:rFonts w:ascii="Arial" w:hAnsi="Arial" w:cs="Arial"/>
                <w:color w:val="6C6361"/>
                <w:sz w:val="24"/>
                <w:szCs w:val="24"/>
              </w:rPr>
              <w:t>analysing</w:t>
            </w:r>
            <w:proofErr w:type="spellEnd"/>
            <w:r w:rsidRPr="007C441E">
              <w:rPr>
                <w:rFonts w:ascii="Arial" w:hAnsi="Arial" w:cs="Arial"/>
                <w:color w:val="6C6361"/>
                <w:sz w:val="24"/>
                <w:szCs w:val="24"/>
              </w:rPr>
              <w:t xml:space="preserve"> some case scenarios, they seek to demonstrate how the different conflicts rules come into play.  This part will conclude with some practical pointers on how lawyers and their firms can effectively manage conflicts of interest issues in practice.</w:t>
            </w:r>
          </w:p>
          <w:p w14:paraId="4C9C06A8" w14:textId="77777777" w:rsidR="003A2281" w:rsidRPr="007C441E" w:rsidRDefault="003A2281" w:rsidP="0093443B">
            <w:pPr>
              <w:ind w:right="33"/>
              <w:rPr>
                <w:rFonts w:ascii="Arial" w:hAnsi="Arial" w:cs="Arial"/>
                <w:color w:val="6C6361"/>
                <w:sz w:val="12"/>
                <w:szCs w:val="12"/>
              </w:rPr>
            </w:pPr>
          </w:p>
          <w:p w14:paraId="18B826B6" w14:textId="77777777" w:rsidR="003A2281" w:rsidRDefault="003A2281" w:rsidP="0093443B">
            <w:pPr>
              <w:ind w:right="33"/>
              <w:rPr>
                <w:rFonts w:ascii="Arial" w:hAnsi="Arial" w:cs="Arial"/>
                <w:color w:val="6C6361"/>
                <w:sz w:val="24"/>
                <w:szCs w:val="24"/>
              </w:rPr>
            </w:pPr>
            <w:r w:rsidRPr="007C441E">
              <w:rPr>
                <w:rFonts w:ascii="Arial" w:hAnsi="Arial" w:cs="Arial"/>
                <w:color w:val="6C6361"/>
                <w:sz w:val="24"/>
                <w:szCs w:val="24"/>
              </w:rPr>
              <w:t>In the second part, the role and importance of client engagement letters will be explained, together with the key points to consider when drafting these letters.  In addition, the emergence of client-based engagement terms will be discussed, with consideration on how they impact lawyers and their firms in practice, including how lawyers should review and negotiate such terms with their clients.</w:t>
            </w:r>
          </w:p>
          <w:p w14:paraId="6BB1D920" w14:textId="77777777" w:rsidR="003A2281" w:rsidRPr="00A950F0" w:rsidRDefault="003A2281" w:rsidP="0093443B">
            <w:pPr>
              <w:ind w:right="33"/>
              <w:rPr>
                <w:rFonts w:ascii="Arial" w:hAnsi="Arial" w:cs="Arial"/>
                <w:color w:val="6C6361"/>
                <w:sz w:val="12"/>
                <w:szCs w:val="12"/>
              </w:rPr>
            </w:pPr>
          </w:p>
          <w:p w14:paraId="20E385A1" w14:textId="77777777" w:rsidR="003A2281" w:rsidRPr="007C441E" w:rsidRDefault="003A2281" w:rsidP="0093443B">
            <w:pPr>
              <w:ind w:right="33"/>
              <w:rPr>
                <w:rFonts w:ascii="Arial" w:hAnsi="Arial" w:cs="Arial"/>
                <w:color w:val="6C6361"/>
                <w:sz w:val="24"/>
                <w:szCs w:val="24"/>
              </w:rPr>
            </w:pPr>
            <w:r w:rsidRPr="007C441E">
              <w:rPr>
                <w:rFonts w:ascii="Arial" w:hAnsi="Arial" w:cs="Arial"/>
                <w:color w:val="6C6361"/>
                <w:sz w:val="24"/>
                <w:szCs w:val="24"/>
              </w:rPr>
              <w:t>During this seminar, there will be various interactive exercises and discussions, so to encourage the participants to share their views and experience.</w:t>
            </w:r>
          </w:p>
        </w:tc>
      </w:tr>
    </w:tbl>
    <w:p w14:paraId="7A9E3103" w14:textId="77777777" w:rsidR="003A2281" w:rsidRDefault="003A2281" w:rsidP="003A2281">
      <w:pPr>
        <w:spacing w:line="276" w:lineRule="auto"/>
        <w:rPr>
          <w:rFonts w:ascii="Arial" w:hAnsi="Arial" w:cs="Arial"/>
          <w:sz w:val="20"/>
          <w:szCs w:val="16"/>
        </w:rPr>
      </w:pPr>
    </w:p>
    <w:p w14:paraId="21CB4624" w14:textId="77777777" w:rsidR="003A2281" w:rsidRDefault="003A2281" w:rsidP="003A2281">
      <w:pPr>
        <w:spacing w:line="276" w:lineRule="auto"/>
        <w:rPr>
          <w:rFonts w:ascii="Arial" w:hAnsi="Arial" w:cs="Arial"/>
          <w:sz w:val="20"/>
          <w:szCs w:val="16"/>
        </w:rPr>
      </w:pPr>
    </w:p>
    <w:p w14:paraId="0E4E84E9" w14:textId="77777777" w:rsidR="003A2281" w:rsidRDefault="003A2281" w:rsidP="003A2281">
      <w:pPr>
        <w:spacing w:line="276" w:lineRule="auto"/>
        <w:rPr>
          <w:rFonts w:ascii="Arial" w:hAnsi="Arial" w:cs="Arial"/>
          <w:sz w:val="20"/>
          <w:szCs w:val="16"/>
        </w:rPr>
      </w:pPr>
    </w:p>
    <w:p w14:paraId="3AB7EEC6" w14:textId="77777777" w:rsidR="003A2281" w:rsidRDefault="003A2281" w:rsidP="003A2281">
      <w:pPr>
        <w:spacing w:line="276" w:lineRule="auto"/>
        <w:rPr>
          <w:rFonts w:ascii="Arial" w:hAnsi="Arial" w:cs="Arial"/>
          <w:sz w:val="20"/>
          <w:szCs w:val="16"/>
        </w:rPr>
      </w:pPr>
    </w:p>
    <w:p w14:paraId="3D4FE7FD" w14:textId="77777777" w:rsidR="003A2281" w:rsidRDefault="003A2281" w:rsidP="003A2281">
      <w:pPr>
        <w:spacing w:line="276" w:lineRule="auto"/>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8930"/>
        <w:gridCol w:w="1843"/>
      </w:tblGrid>
      <w:tr w:rsidR="003A2281" w:rsidRPr="00741E33" w14:paraId="7EDF7869" w14:textId="77777777" w:rsidTr="0093443B">
        <w:trPr>
          <w:trHeight w:val="397"/>
          <w:jc w:val="center"/>
        </w:trPr>
        <w:tc>
          <w:tcPr>
            <w:tcW w:w="10773" w:type="dxa"/>
            <w:gridSpan w:val="2"/>
            <w:tcBorders>
              <w:top w:val="nil"/>
              <w:bottom w:val="nil"/>
              <w:right w:val="nil"/>
            </w:tcBorders>
            <w:shd w:val="clear" w:color="auto" w:fill="F0EBE1"/>
            <w:vAlign w:val="center"/>
          </w:tcPr>
          <w:p w14:paraId="3D83A861" w14:textId="77777777" w:rsidR="003A2281" w:rsidRPr="009E4F77" w:rsidRDefault="003A2281" w:rsidP="0093443B">
            <w:pPr>
              <w:rPr>
                <w:rFonts w:ascii="Arial" w:hAnsi="Arial" w:cs="Arial"/>
                <w:b/>
                <w:color w:val="524B48"/>
                <w:sz w:val="24"/>
              </w:rPr>
            </w:pPr>
            <w:r w:rsidRPr="009E4F77">
              <w:rPr>
                <w:rFonts w:ascii="Arial" w:hAnsi="Arial" w:cs="Arial"/>
                <w:b/>
                <w:color w:val="524B48"/>
                <w:sz w:val="24"/>
              </w:rPr>
              <w:lastRenderedPageBreak/>
              <w:t>Part 1</w:t>
            </w:r>
          </w:p>
        </w:tc>
      </w:tr>
      <w:tr w:rsidR="003A2281" w:rsidRPr="00741E33" w14:paraId="1D9CF751" w14:textId="77777777" w:rsidTr="0093443B">
        <w:trPr>
          <w:trHeight w:val="1421"/>
          <w:jc w:val="center"/>
        </w:trPr>
        <w:tc>
          <w:tcPr>
            <w:tcW w:w="8930" w:type="dxa"/>
            <w:tcBorders>
              <w:top w:val="nil"/>
              <w:bottom w:val="nil"/>
              <w:right w:val="nil"/>
            </w:tcBorders>
            <w:shd w:val="clear" w:color="auto" w:fill="FFFFFF"/>
            <w:vAlign w:val="center"/>
          </w:tcPr>
          <w:p w14:paraId="5E1B58EA" w14:textId="77777777" w:rsidR="003A2281" w:rsidRPr="007C441E" w:rsidRDefault="003A2281" w:rsidP="0093443B">
            <w:pPr>
              <w:pStyle w:val="ListParagraph"/>
              <w:numPr>
                <w:ilvl w:val="0"/>
                <w:numId w:val="2"/>
              </w:numPr>
              <w:ind w:left="318" w:right="-108" w:hanging="284"/>
              <w:rPr>
                <w:rFonts w:ascii="Arial" w:hAnsi="Arial" w:cs="Arial"/>
                <w:color w:val="6C6361"/>
                <w:sz w:val="24"/>
                <w:szCs w:val="24"/>
              </w:rPr>
            </w:pPr>
            <w:r w:rsidRPr="007C441E">
              <w:rPr>
                <w:rFonts w:ascii="Arial" w:hAnsi="Arial" w:cs="Arial"/>
                <w:color w:val="6C6361"/>
                <w:sz w:val="24"/>
                <w:szCs w:val="24"/>
              </w:rPr>
              <w:t>Introduction to conflicts of interest</w:t>
            </w:r>
          </w:p>
          <w:p w14:paraId="5A2F041D" w14:textId="77777777" w:rsidR="003A2281" w:rsidRPr="007C441E" w:rsidRDefault="003A2281" w:rsidP="0093443B">
            <w:pPr>
              <w:pStyle w:val="ListParagraph"/>
              <w:numPr>
                <w:ilvl w:val="0"/>
                <w:numId w:val="2"/>
              </w:numPr>
              <w:ind w:left="318" w:right="-108" w:hanging="284"/>
              <w:rPr>
                <w:rFonts w:ascii="Arial" w:hAnsi="Arial" w:cs="Arial"/>
                <w:color w:val="6C6361"/>
                <w:sz w:val="24"/>
                <w:szCs w:val="24"/>
              </w:rPr>
            </w:pPr>
            <w:r w:rsidRPr="007C441E">
              <w:rPr>
                <w:rFonts w:ascii="Arial" w:hAnsi="Arial" w:cs="Arial"/>
                <w:color w:val="6C6361"/>
                <w:sz w:val="24"/>
                <w:szCs w:val="24"/>
              </w:rPr>
              <w:t>Sources of standards</w:t>
            </w:r>
          </w:p>
          <w:p w14:paraId="58BDB715" w14:textId="77777777" w:rsidR="003A2281" w:rsidRDefault="003A2281" w:rsidP="0093443B">
            <w:pPr>
              <w:pStyle w:val="ListParagraph"/>
              <w:numPr>
                <w:ilvl w:val="0"/>
                <w:numId w:val="2"/>
              </w:numPr>
              <w:ind w:left="318" w:right="-108" w:hanging="284"/>
              <w:rPr>
                <w:rFonts w:ascii="Arial" w:hAnsi="Arial" w:cs="Arial"/>
                <w:color w:val="6C6361"/>
                <w:sz w:val="24"/>
                <w:szCs w:val="24"/>
              </w:rPr>
            </w:pPr>
            <w:r w:rsidRPr="007C441E">
              <w:rPr>
                <w:rFonts w:ascii="Arial" w:hAnsi="Arial" w:cs="Arial"/>
                <w:color w:val="6C6361"/>
                <w:sz w:val="24"/>
                <w:szCs w:val="24"/>
              </w:rPr>
              <w:t>Practical issues and challenges</w:t>
            </w:r>
          </w:p>
          <w:p w14:paraId="012585B6" w14:textId="77777777" w:rsidR="003A2281" w:rsidRPr="000B1929" w:rsidRDefault="003A2281" w:rsidP="0093443B">
            <w:pPr>
              <w:pStyle w:val="ListParagraph"/>
              <w:numPr>
                <w:ilvl w:val="0"/>
                <w:numId w:val="2"/>
              </w:numPr>
              <w:ind w:left="318" w:right="-108" w:hanging="284"/>
              <w:rPr>
                <w:rFonts w:ascii="Arial" w:hAnsi="Arial" w:cs="Arial"/>
                <w:color w:val="6C6361"/>
                <w:sz w:val="24"/>
                <w:szCs w:val="24"/>
              </w:rPr>
            </w:pPr>
            <w:r w:rsidRPr="000B1929">
              <w:rPr>
                <w:rFonts w:ascii="Arial" w:hAnsi="Arial" w:cs="Arial"/>
                <w:color w:val="6C6361"/>
                <w:sz w:val="24"/>
                <w:szCs w:val="24"/>
              </w:rPr>
              <w:t>Conflicts case scenarios</w:t>
            </w:r>
          </w:p>
        </w:tc>
        <w:tc>
          <w:tcPr>
            <w:tcW w:w="1843" w:type="dxa"/>
            <w:vMerge w:val="restart"/>
            <w:tcBorders>
              <w:top w:val="nil"/>
              <w:left w:val="nil"/>
              <w:bottom w:val="nil"/>
              <w:right w:val="nil"/>
            </w:tcBorders>
            <w:shd w:val="clear" w:color="auto" w:fill="FFFFFF"/>
            <w:vAlign w:val="center"/>
          </w:tcPr>
          <w:p w14:paraId="17874BDF" w14:textId="77777777" w:rsidR="003A2281" w:rsidRDefault="003A2281" w:rsidP="0093443B">
            <w:pPr>
              <w:jc w:val="left"/>
              <w:rPr>
                <w:rFonts w:ascii="Arial" w:hAnsi="Arial" w:cs="Arial"/>
                <w:color w:val="6C6361"/>
                <w:szCs w:val="20"/>
              </w:rPr>
            </w:pPr>
          </w:p>
          <w:p w14:paraId="3C7658B2" w14:textId="77777777" w:rsidR="003A2281" w:rsidRDefault="003A2281" w:rsidP="0093443B">
            <w:pPr>
              <w:jc w:val="left"/>
              <w:rPr>
                <w:rFonts w:ascii="Arial" w:hAnsi="Arial" w:cs="Arial"/>
                <w:color w:val="6C6361"/>
                <w:szCs w:val="20"/>
              </w:rPr>
            </w:pPr>
          </w:p>
          <w:p w14:paraId="233569DD" w14:textId="77777777" w:rsidR="003A2281" w:rsidRDefault="003A2281" w:rsidP="0093443B">
            <w:pPr>
              <w:jc w:val="left"/>
              <w:rPr>
                <w:rFonts w:ascii="Arial" w:hAnsi="Arial" w:cs="Arial"/>
                <w:color w:val="6C6361"/>
                <w:szCs w:val="20"/>
              </w:rPr>
            </w:pPr>
          </w:p>
          <w:p w14:paraId="532B0020" w14:textId="77777777" w:rsidR="003A2281" w:rsidRDefault="003A2281" w:rsidP="0093443B">
            <w:pPr>
              <w:jc w:val="left"/>
              <w:rPr>
                <w:rFonts w:ascii="Arial" w:hAnsi="Arial" w:cs="Arial"/>
                <w:color w:val="6C6361"/>
                <w:szCs w:val="20"/>
              </w:rPr>
            </w:pPr>
            <w:r>
              <w:rPr>
                <w:noProof/>
              </w:rPr>
              <w:drawing>
                <wp:anchor distT="0" distB="0" distL="114300" distR="114300" simplePos="0" relativeHeight="251660288" behindDoc="0" locked="0" layoutInCell="1" allowOverlap="1" wp14:anchorId="1B5FF8BE" wp14:editId="4BD64ED7">
                  <wp:simplePos x="0" y="0"/>
                  <wp:positionH relativeFrom="column">
                    <wp:posOffset>85090</wp:posOffset>
                  </wp:positionH>
                  <wp:positionV relativeFrom="paragraph">
                    <wp:posOffset>133350</wp:posOffset>
                  </wp:positionV>
                  <wp:extent cx="891540" cy="1020445"/>
                  <wp:effectExtent l="0" t="0" r="0" b="0"/>
                  <wp:wrapNone/>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1540" cy="1020445"/>
                          </a:xfrm>
                          <a:prstGeom prst="rect">
                            <a:avLst/>
                          </a:prstGeom>
                        </pic:spPr>
                      </pic:pic>
                    </a:graphicData>
                  </a:graphic>
                  <wp14:sizeRelH relativeFrom="margin">
                    <wp14:pctWidth>0</wp14:pctWidth>
                  </wp14:sizeRelH>
                  <wp14:sizeRelV relativeFrom="margin">
                    <wp14:pctHeight>0</wp14:pctHeight>
                  </wp14:sizeRelV>
                </wp:anchor>
              </w:drawing>
            </w:r>
          </w:p>
          <w:p w14:paraId="33B0B859" w14:textId="77777777" w:rsidR="003A2281" w:rsidRPr="000B1929" w:rsidRDefault="003A2281" w:rsidP="0093443B">
            <w:pPr>
              <w:ind w:right="-108"/>
              <w:jc w:val="center"/>
              <w:rPr>
                <w:rFonts w:ascii="Arial" w:hAnsi="Arial" w:cs="Arial"/>
                <w:color w:val="6C6361"/>
                <w:sz w:val="24"/>
                <w:szCs w:val="24"/>
              </w:rPr>
            </w:pPr>
            <w:r>
              <w:rPr>
                <w:noProof/>
              </w:rPr>
              <w:t xml:space="preserve"> </w:t>
            </w:r>
          </w:p>
        </w:tc>
      </w:tr>
      <w:tr w:rsidR="003A2281" w:rsidRPr="00741E33" w14:paraId="7ED246D5" w14:textId="77777777" w:rsidTr="0093443B">
        <w:trPr>
          <w:trHeight w:val="397"/>
          <w:jc w:val="center"/>
        </w:trPr>
        <w:tc>
          <w:tcPr>
            <w:tcW w:w="8930" w:type="dxa"/>
            <w:tcBorders>
              <w:top w:val="nil"/>
              <w:bottom w:val="nil"/>
              <w:right w:val="nil"/>
            </w:tcBorders>
            <w:shd w:val="clear" w:color="auto" w:fill="F0EBE1"/>
            <w:vAlign w:val="center"/>
          </w:tcPr>
          <w:p w14:paraId="29C88EC2" w14:textId="77777777" w:rsidR="003A2281" w:rsidRPr="009E4F77" w:rsidRDefault="003A2281" w:rsidP="0093443B">
            <w:pPr>
              <w:rPr>
                <w:rFonts w:ascii="Arial" w:hAnsi="Arial" w:cs="Arial"/>
                <w:b/>
                <w:color w:val="524B48"/>
                <w:sz w:val="24"/>
              </w:rPr>
            </w:pPr>
            <w:r w:rsidRPr="009E4F77">
              <w:rPr>
                <w:rFonts w:ascii="Arial" w:hAnsi="Arial" w:cs="Arial"/>
                <w:b/>
                <w:color w:val="524B48"/>
                <w:sz w:val="24"/>
              </w:rPr>
              <w:t>Part 2</w:t>
            </w:r>
          </w:p>
        </w:tc>
        <w:tc>
          <w:tcPr>
            <w:tcW w:w="1843" w:type="dxa"/>
            <w:vMerge/>
            <w:tcBorders>
              <w:left w:val="nil"/>
              <w:bottom w:val="nil"/>
              <w:right w:val="nil"/>
            </w:tcBorders>
            <w:shd w:val="clear" w:color="auto" w:fill="F0EBE1"/>
            <w:vAlign w:val="center"/>
          </w:tcPr>
          <w:p w14:paraId="0E196206" w14:textId="77777777" w:rsidR="003A2281" w:rsidRPr="00741E33" w:rsidRDefault="003A2281" w:rsidP="0093443B">
            <w:pPr>
              <w:ind w:right="-108"/>
              <w:jc w:val="center"/>
              <w:rPr>
                <w:rFonts w:ascii="Arial" w:hAnsi="Arial" w:cs="Arial"/>
                <w:b/>
                <w:color w:val="524B48"/>
                <w:szCs w:val="20"/>
              </w:rPr>
            </w:pPr>
          </w:p>
        </w:tc>
      </w:tr>
      <w:tr w:rsidR="003A2281" w:rsidRPr="00741E33" w14:paraId="54F0AFFD" w14:textId="77777777" w:rsidTr="0093443B">
        <w:trPr>
          <w:trHeight w:val="1179"/>
          <w:jc w:val="center"/>
        </w:trPr>
        <w:tc>
          <w:tcPr>
            <w:tcW w:w="8930" w:type="dxa"/>
            <w:tcBorders>
              <w:top w:val="nil"/>
              <w:bottom w:val="nil"/>
            </w:tcBorders>
            <w:shd w:val="clear" w:color="auto" w:fill="FFFFFF"/>
            <w:vAlign w:val="center"/>
          </w:tcPr>
          <w:p w14:paraId="63F46498" w14:textId="77777777" w:rsidR="003A2281" w:rsidRPr="007C441E" w:rsidRDefault="003A2281" w:rsidP="0093443B">
            <w:pPr>
              <w:pStyle w:val="ListParagraph"/>
              <w:numPr>
                <w:ilvl w:val="0"/>
                <w:numId w:val="2"/>
              </w:numPr>
              <w:ind w:left="318" w:hanging="284"/>
              <w:rPr>
                <w:rFonts w:ascii="Arial" w:hAnsi="Arial" w:cs="Arial"/>
                <w:color w:val="6C6361"/>
                <w:sz w:val="24"/>
                <w:szCs w:val="24"/>
              </w:rPr>
            </w:pPr>
            <w:r w:rsidRPr="007C441E">
              <w:rPr>
                <w:rFonts w:ascii="Arial" w:hAnsi="Arial" w:cs="Arial"/>
                <w:color w:val="6C6361"/>
                <w:sz w:val="24"/>
                <w:szCs w:val="24"/>
              </w:rPr>
              <w:t>Introduction to client engagement terms</w:t>
            </w:r>
          </w:p>
          <w:p w14:paraId="31C407F1" w14:textId="77777777" w:rsidR="003A2281" w:rsidRPr="007C441E" w:rsidRDefault="003A2281" w:rsidP="0093443B">
            <w:pPr>
              <w:pStyle w:val="ListParagraph"/>
              <w:numPr>
                <w:ilvl w:val="0"/>
                <w:numId w:val="2"/>
              </w:numPr>
              <w:ind w:left="318" w:hanging="284"/>
              <w:rPr>
                <w:rFonts w:ascii="Arial" w:hAnsi="Arial" w:cs="Arial"/>
                <w:color w:val="6C6361"/>
                <w:sz w:val="24"/>
                <w:szCs w:val="24"/>
              </w:rPr>
            </w:pPr>
            <w:r w:rsidRPr="007C441E">
              <w:rPr>
                <w:rFonts w:ascii="Arial" w:hAnsi="Arial" w:cs="Arial"/>
                <w:color w:val="6C6361"/>
                <w:sz w:val="24"/>
                <w:szCs w:val="24"/>
              </w:rPr>
              <w:t>Practical pointers and guidance</w:t>
            </w:r>
          </w:p>
          <w:p w14:paraId="48717188" w14:textId="77777777" w:rsidR="003A2281" w:rsidRPr="003016BA" w:rsidRDefault="003A2281" w:rsidP="0093443B">
            <w:pPr>
              <w:pStyle w:val="ListParagraph"/>
              <w:numPr>
                <w:ilvl w:val="0"/>
                <w:numId w:val="2"/>
              </w:numPr>
              <w:ind w:left="318" w:right="-108" w:hanging="284"/>
              <w:rPr>
                <w:rFonts w:ascii="Arial" w:hAnsi="Arial" w:cs="Arial"/>
                <w:color w:val="6C6361"/>
                <w:szCs w:val="20"/>
              </w:rPr>
            </w:pPr>
            <w:r w:rsidRPr="007C441E">
              <w:rPr>
                <w:rFonts w:ascii="Arial" w:hAnsi="Arial" w:cs="Arial"/>
                <w:color w:val="6C6361"/>
                <w:sz w:val="24"/>
                <w:szCs w:val="24"/>
              </w:rPr>
              <w:t>Client-based engagement terms: Practical exercise</w:t>
            </w:r>
          </w:p>
        </w:tc>
        <w:tc>
          <w:tcPr>
            <w:tcW w:w="1843" w:type="dxa"/>
            <w:vMerge/>
            <w:tcBorders>
              <w:bottom w:val="nil"/>
              <w:right w:val="nil"/>
            </w:tcBorders>
            <w:shd w:val="clear" w:color="auto" w:fill="FFFFFF"/>
            <w:vAlign w:val="center"/>
          </w:tcPr>
          <w:p w14:paraId="431D4519" w14:textId="77777777" w:rsidR="003A2281" w:rsidRPr="00741E33" w:rsidRDefault="003A2281" w:rsidP="0093443B">
            <w:pPr>
              <w:ind w:right="-108"/>
              <w:jc w:val="center"/>
              <w:rPr>
                <w:rFonts w:ascii="Arial" w:hAnsi="Arial" w:cs="Arial"/>
                <w:color w:val="6C6361"/>
                <w:szCs w:val="20"/>
              </w:rPr>
            </w:pPr>
          </w:p>
        </w:tc>
      </w:tr>
    </w:tbl>
    <w:p w14:paraId="22CE26BD" w14:textId="77777777" w:rsidR="003A2281" w:rsidRPr="002B466D" w:rsidRDefault="003A2281"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3A2281" w:rsidRPr="000762CF" w14:paraId="663836F5" w14:textId="77777777" w:rsidTr="008F5FE6">
        <w:trPr>
          <w:trHeight w:val="454"/>
          <w:jc w:val="center"/>
        </w:trPr>
        <w:tc>
          <w:tcPr>
            <w:tcW w:w="1701" w:type="dxa"/>
            <w:tcBorders>
              <w:top w:val="nil"/>
              <w:left w:val="nil"/>
              <w:bottom w:val="single" w:sz="12" w:space="0" w:color="FFFFFF"/>
            </w:tcBorders>
            <w:shd w:val="clear" w:color="auto" w:fill="F0EBE1"/>
            <w:vAlign w:val="center"/>
          </w:tcPr>
          <w:p w14:paraId="25778D31" w14:textId="78865D44"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7670555B" w14:textId="19295EF2"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EVT000000409</w:t>
            </w:r>
          </w:p>
        </w:tc>
        <w:tc>
          <w:tcPr>
            <w:tcW w:w="1701" w:type="dxa"/>
            <w:tcBorders>
              <w:top w:val="nil"/>
              <w:bottom w:val="single" w:sz="12" w:space="0" w:color="FFFFFF"/>
            </w:tcBorders>
            <w:shd w:val="clear" w:color="auto" w:fill="F0EBE1"/>
            <w:vAlign w:val="center"/>
          </w:tcPr>
          <w:p w14:paraId="4E878BFA" w14:textId="328987CC"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4111E2D7" w14:textId="5A3A4890"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3A2281" w:rsidRPr="000762CF" w14:paraId="22D6C74B" w14:textId="77777777"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14:paraId="15A14194" w14:textId="2A8DFF6F"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54F9FF8A" w14:textId="77777777" w:rsidR="003A2281"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September 2023 (Wednesday)</w:t>
            </w:r>
          </w:p>
          <w:p w14:paraId="665D85CF" w14:textId="15CD4486" w:rsidR="003A2281" w:rsidRPr="00230178"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2CE33523" w14:textId="3D372C18"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37A3883" w14:textId="0103338E"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3A2281" w:rsidRPr="000762CF" w14:paraId="55E309E3" w14:textId="77777777"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14:paraId="24A84996" w14:textId="38601FA4"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E2B2DFA" w14:textId="77777777"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14:paraId="2EEC8BE7" w14:textId="398FB9D8"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3BFE3BA" w14:textId="0562DFF4" w:rsidR="003A2281" w:rsidRPr="000762CF"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6536885F" w14:textId="77777777" w:rsidR="003A2281"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RME Elective Hours</w:t>
            </w:r>
          </w:p>
          <w:p w14:paraId="3B9B74F7" w14:textId="781A9640" w:rsidR="003A2281" w:rsidRPr="000B06B8" w:rsidRDefault="003A2281" w:rsidP="003A2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CPD Points</w:t>
            </w:r>
          </w:p>
        </w:tc>
      </w:tr>
      <w:tr w:rsidR="00345BE5" w:rsidRPr="000762CF" w14:paraId="195AABF2" w14:textId="77777777" w:rsidTr="008F5FE6">
        <w:trPr>
          <w:trHeight w:val="1247"/>
          <w:jc w:val="center"/>
        </w:trPr>
        <w:tc>
          <w:tcPr>
            <w:tcW w:w="1701" w:type="dxa"/>
            <w:tcBorders>
              <w:top w:val="single" w:sz="12" w:space="0" w:color="FFFFFF"/>
              <w:left w:val="nil"/>
              <w:bottom w:val="nil"/>
            </w:tcBorders>
            <w:shd w:val="clear" w:color="auto" w:fill="F0EBE1"/>
            <w:vAlign w:val="center"/>
          </w:tcPr>
          <w:p w14:paraId="01FF215C" w14:textId="77777777" w:rsidR="00345BE5" w:rsidRPr="000762CF"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2C705C11" w14:textId="77777777" w:rsidR="00345BE5" w:rsidRPr="00A42433"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400"/>
              <w:rPr>
                <w:rFonts w:ascii="Arial" w:hAnsi="Arial" w:cs="Arial"/>
                <w:bCs/>
                <w:i/>
                <w:iCs/>
                <w:color w:val="6C6361"/>
                <w:sz w:val="20"/>
                <w:szCs w:val="20"/>
              </w:rPr>
            </w:pPr>
            <w:r w:rsidRPr="00A42433">
              <w:rPr>
                <w:rFonts w:ascii="Arial" w:hAnsi="Arial" w:cs="Arial"/>
                <w:bCs/>
                <w:i/>
                <w:iCs/>
                <w:color w:val="6C6361"/>
                <w:sz w:val="20"/>
                <w:szCs w:val="20"/>
              </w:rPr>
              <w:t>Option of:</w:t>
            </w:r>
          </w:p>
          <w:p w14:paraId="6D88BF6E" w14:textId="77777777" w:rsidR="00345BE5" w:rsidRPr="00A42433" w:rsidRDefault="00345BE5" w:rsidP="00345BE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Cs/>
                <w:color w:val="6C6361"/>
                <w:sz w:val="20"/>
                <w:szCs w:val="20"/>
              </w:rPr>
            </w:pPr>
            <w:r w:rsidRPr="00A42433">
              <w:rPr>
                <w:rFonts w:ascii="Arial" w:hAnsi="Arial" w:cs="Arial"/>
                <w:bCs/>
                <w:color w:val="6C6361"/>
                <w:sz w:val="20"/>
                <w:szCs w:val="20"/>
              </w:rPr>
              <w:t>(1)</w:t>
            </w:r>
            <w:r w:rsidRPr="00A42433">
              <w:rPr>
                <w:rFonts w:ascii="Arial" w:hAnsi="Arial" w:cs="Arial"/>
                <w:b/>
                <w:color w:val="6C6361"/>
                <w:sz w:val="20"/>
                <w:szCs w:val="20"/>
              </w:rPr>
              <w:t xml:space="preserve"> Online </w:t>
            </w:r>
            <w:r w:rsidRPr="00A42433">
              <w:rPr>
                <w:rFonts w:ascii="Arial" w:hAnsi="Arial" w:cs="Arial"/>
                <w:bCs/>
                <w:color w:val="6C6361"/>
                <w:sz w:val="20"/>
                <w:szCs w:val="20"/>
              </w:rPr>
              <w:t>via Zoom; or</w:t>
            </w:r>
          </w:p>
          <w:p w14:paraId="3224D533" w14:textId="77777777" w:rsidR="00345BE5" w:rsidRPr="000762CF" w:rsidRDefault="00345BE5" w:rsidP="00345BE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A42433">
              <w:rPr>
                <w:rFonts w:ascii="Arial" w:hAnsi="Arial" w:cs="Arial"/>
                <w:bCs/>
                <w:color w:val="6C6361"/>
                <w:sz w:val="20"/>
                <w:szCs w:val="20"/>
              </w:rPr>
              <w:t xml:space="preserve">(2) </w:t>
            </w: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14:paraId="4A13D148" w14:textId="77777777" w:rsidR="00345BE5" w:rsidRPr="000762CF"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14:paraId="75508321" w14:textId="77777777" w:rsidR="00345BE5" w:rsidRPr="000762CF"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14:paraId="20B11C28" w14:textId="2CC3903C" w:rsidR="00345BE5" w:rsidRPr="000762CF"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4591FCF4" w14:textId="7CDC0E81" w:rsidR="00345BE5" w:rsidRDefault="00345BE5" w:rsidP="00345BE5">
            <w:pPr>
              <w:jc w:val="right"/>
              <w:rPr>
                <w:rFonts w:ascii="Arial" w:hAnsi="Arial" w:cs="Arial"/>
                <w:b/>
                <w:color w:val="6C6361"/>
                <w:sz w:val="20"/>
                <w:szCs w:val="20"/>
              </w:rPr>
            </w:pPr>
          </w:p>
          <w:p w14:paraId="21256B98" w14:textId="339D5C18" w:rsidR="00345BE5" w:rsidRDefault="00345BE5" w:rsidP="00345BE5">
            <w:pPr>
              <w:jc w:val="right"/>
              <w:rPr>
                <w:rFonts w:ascii="Arial" w:hAnsi="Arial" w:cs="Arial"/>
                <w:b/>
                <w:color w:val="6C6361"/>
                <w:sz w:val="20"/>
                <w:szCs w:val="20"/>
              </w:rPr>
            </w:pPr>
          </w:p>
          <w:p w14:paraId="36E2CF33" w14:textId="77777777" w:rsidR="00345BE5" w:rsidRPr="000762CF" w:rsidRDefault="00345BE5" w:rsidP="00345BE5">
            <w:pPr>
              <w:jc w:val="right"/>
              <w:rPr>
                <w:rFonts w:ascii="Arial" w:hAnsi="Arial" w:cs="Arial"/>
                <w:b/>
                <w:color w:val="6C6361"/>
                <w:sz w:val="20"/>
                <w:szCs w:val="20"/>
              </w:rPr>
            </w:pPr>
          </w:p>
          <w:p w14:paraId="0CA1EEFE" w14:textId="77777777" w:rsidR="00345BE5" w:rsidRPr="000762CF" w:rsidRDefault="00345BE5" w:rsidP="00345BE5">
            <w:pPr>
              <w:jc w:val="right"/>
              <w:rPr>
                <w:rFonts w:ascii="Arial" w:hAnsi="Arial" w:cs="Arial"/>
                <w:b/>
                <w:color w:val="6C6361"/>
                <w:sz w:val="20"/>
                <w:szCs w:val="20"/>
              </w:rPr>
            </w:pPr>
          </w:p>
          <w:p w14:paraId="3B5A2B4A" w14:textId="77777777" w:rsidR="00345BE5" w:rsidRPr="000762CF" w:rsidRDefault="00345BE5" w:rsidP="00345BE5">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5AA30F16" wp14:editId="3C86A498">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0D3B8563" w14:textId="77777777" w:rsidR="00345BE5" w:rsidRPr="000762CF" w:rsidRDefault="00345BE5" w:rsidP="00345BE5">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14:paraId="3F78CFBA" w14:textId="77777777" w:rsidR="00345BE5" w:rsidRPr="003A2A41"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8C5E538" w14:textId="77777777" w:rsidR="00345BE5" w:rsidRPr="003A2A41"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14:paraId="7AF7563A" w14:textId="77777777" w:rsidR="00345BE5" w:rsidRPr="003A2A41"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7DB3FACF" w14:textId="77777777" w:rsidR="00345BE5" w:rsidRPr="003A2A41"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14:paraId="7CA9CE42" w14:textId="77777777" w:rsidR="00345BE5" w:rsidRPr="00156567" w:rsidRDefault="00345BE5" w:rsidP="0034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46540C0" wp14:editId="0B71BDF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6832108" w14:textId="77777777"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85402" w14:textId="77777777" w:rsidR="001048B5" w:rsidRDefault="001048B5" w:rsidP="00546556">
      <w:r>
        <w:separator/>
      </w:r>
    </w:p>
  </w:endnote>
  <w:endnote w:type="continuationSeparator" w:id="0">
    <w:p w14:paraId="0F755ED9" w14:textId="77777777" w:rsidR="001048B5" w:rsidRDefault="001048B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19AA"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001671E0" w14:textId="77777777" w:rsidTr="00A775CE">
      <w:trPr>
        <w:trHeight w:val="1824"/>
        <w:jc w:val="center"/>
      </w:trPr>
      <w:tc>
        <w:tcPr>
          <w:tcW w:w="5954" w:type="dxa"/>
          <w:vAlign w:val="bottom"/>
        </w:tcPr>
        <w:p w14:paraId="693C76D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8A50F89" wp14:editId="3F51ADA5">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4FA7AEAE" w14:textId="77777777" w:rsidR="00197F64" w:rsidRPr="00EA2D57" w:rsidRDefault="00197F64" w:rsidP="00197F64">
          <w:pPr>
            <w:ind w:right="33"/>
            <w:jc w:val="center"/>
            <w:rPr>
              <w:rFonts w:ascii="Arial" w:hAnsi="Arial" w:cs="Arial"/>
              <w:color w:val="E4DCCA"/>
              <w:sz w:val="16"/>
              <w:szCs w:val="16"/>
            </w:rPr>
          </w:pPr>
        </w:p>
        <w:p w14:paraId="6EE5393A"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AD1551D"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BBB1ADD"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4028EB0"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3B7F7998" wp14:editId="2468903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128E044"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8303A8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D419B1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28E6BA9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3691527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781B3BBE"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C7FE" w14:textId="77777777" w:rsidR="001048B5" w:rsidRDefault="001048B5" w:rsidP="00546556">
      <w:r>
        <w:separator/>
      </w:r>
    </w:p>
  </w:footnote>
  <w:footnote w:type="continuationSeparator" w:id="0">
    <w:p w14:paraId="6382E575" w14:textId="77777777" w:rsidR="001048B5" w:rsidRDefault="001048B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67D1" w14:textId="77777777" w:rsidR="002C4DC0" w:rsidRDefault="00F0384F">
    <w:pPr>
      <w:pStyle w:val="Header"/>
    </w:pPr>
    <w:r>
      <w:rPr>
        <w:noProof/>
      </w:rPr>
      <w:drawing>
        <wp:anchor distT="0" distB="0" distL="114300" distR="114300" simplePos="0" relativeHeight="251659264" behindDoc="1" locked="0" layoutInCell="1" allowOverlap="1" wp14:anchorId="6A73C15F" wp14:editId="75CE5BC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EWnYKQU+69q/NNVDMevp3tKf+PLzeEzJWraq71n1USxih3JL/u2s/2nbrIsJJGpskgVCyr93Fj9XPKolm/ZpLg==" w:salt="AD/Gmjb6Lff9x/kcGwZcP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48B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228"/>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468B"/>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E7162"/>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357"/>
    <w:rsid w:val="00336517"/>
    <w:rsid w:val="003367A5"/>
    <w:rsid w:val="00336FC6"/>
    <w:rsid w:val="00337985"/>
    <w:rsid w:val="00340A2F"/>
    <w:rsid w:val="003418B7"/>
    <w:rsid w:val="0034204A"/>
    <w:rsid w:val="0034594F"/>
    <w:rsid w:val="00345BE5"/>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1"/>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64"/>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9FC"/>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C7CFB"/>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B98"/>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180"/>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26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A623B"/>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4103"/>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467B"/>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82E2E"/>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3847/"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E73EC-727F-48F7-94F3-846A27C6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3305</CharactersWithSpaces>
  <SharedDoc>false</SharedDoc>
  <HyperlinkBase>http://download.profectional.com/events/EVT000000409.docx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Conflicts of Interest &amp; Engagement Terms</dc:title>
  <dc:subject>Profectional; Kornerstone; CPD; CPT; CLE; CE; RME; John Lee; BBA(Hons); JD; PhD; IntDip(Comp); CAMS; FICA; CCI; Adjunct Associate Professor of Law; Faculty of Law; The University of Hong Kong</dc:subject>
  <dc:creator>The Profectional Company Limited</dc:creator>
  <cp:keywords>Profectional; Kornerstone; CPD; CPT; CLE; CE; RME; John Lee; BBA(Hons); JD; PhD; IntDip(Comp); CAMS; FICA; CCI; Adjunct Associate Professor of Law; Faculty of Law; The University of Hong Kong</cp:keywords>
  <dc:description/>
  <cp:lastModifiedBy>Tyrone Tsang</cp:lastModifiedBy>
  <cp:revision>31</cp:revision>
  <cp:lastPrinted>2023-10-02T09:32:00Z</cp:lastPrinted>
  <dcterms:created xsi:type="dcterms:W3CDTF">2015-05-28T16:24:00Z</dcterms:created>
  <dcterms:modified xsi:type="dcterms:W3CDTF">2023-10-02T09:33:00Z</dcterms:modified>
  <cp:category/>
</cp:coreProperties>
</file>