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532FC" w14:textId="77777777" w:rsidR="00860888" w:rsidRPr="00860888" w:rsidRDefault="00860888" w:rsidP="00860888">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860888" w:rsidRPr="00523A64" w14:paraId="5A22BA72" w14:textId="77777777" w:rsidTr="001B721B">
        <w:trPr>
          <w:trHeight w:val="3119"/>
          <w:jc w:val="center"/>
        </w:trPr>
        <w:tc>
          <w:tcPr>
            <w:tcW w:w="4820" w:type="dxa"/>
            <w:shd w:val="clear" w:color="auto" w:fill="FFFFFF"/>
            <w:vAlign w:val="center"/>
          </w:tcPr>
          <w:p w14:paraId="49A1BEB2" w14:textId="77777777" w:rsidR="00860888" w:rsidRPr="001A3018" w:rsidRDefault="00860888" w:rsidP="001B721B">
            <w:pPr>
              <w:jc w:val="center"/>
              <w:rPr>
                <w:rFonts w:ascii="Arial" w:hAnsi="Arial" w:cs="Arial"/>
                <w:b/>
                <w:bCs/>
                <w:color w:val="524B48"/>
                <w:sz w:val="4"/>
                <w:szCs w:val="4"/>
              </w:rPr>
            </w:pPr>
          </w:p>
          <w:p w14:paraId="5D1D81A3" w14:textId="77777777" w:rsidR="00860888" w:rsidRDefault="00860888" w:rsidP="001B721B">
            <w:pPr>
              <w:jc w:val="center"/>
              <w:rPr>
                <w:rFonts w:ascii="Arial" w:hAnsi="Arial" w:cs="Arial"/>
                <w:b/>
                <w:bCs/>
                <w:color w:val="524B48"/>
                <w:sz w:val="32"/>
                <w:szCs w:val="32"/>
              </w:rPr>
            </w:pPr>
            <w:hyperlink r:id="rId8" w:history="1">
              <w:r w:rsidRPr="000F63B1">
                <w:rPr>
                  <w:rStyle w:val="Hyperlink"/>
                  <w:rFonts w:ascii="Arial" w:hAnsi="Arial" w:cs="Arial"/>
                  <w:b/>
                  <w:bCs/>
                  <w:color w:val="524B48"/>
                  <w:sz w:val="32"/>
                  <w:szCs w:val="32"/>
                  <w:u w:val="none"/>
                </w:rPr>
                <w:t>Section 213(2)(b) of the</w:t>
              </w:r>
              <w:r>
                <w:rPr>
                  <w:rStyle w:val="Hyperlink"/>
                  <w:rFonts w:ascii="Arial" w:hAnsi="Arial" w:cs="Arial"/>
                  <w:b/>
                  <w:bCs/>
                  <w:color w:val="524B48"/>
                  <w:sz w:val="32"/>
                  <w:szCs w:val="32"/>
                  <w:u w:val="none"/>
                </w:rPr>
                <w:br/>
              </w:r>
              <w:r w:rsidRPr="000F63B1">
                <w:rPr>
                  <w:rStyle w:val="Hyperlink"/>
                  <w:rFonts w:ascii="Arial" w:hAnsi="Arial" w:cs="Arial"/>
                  <w:b/>
                  <w:bCs/>
                  <w:color w:val="524B48"/>
                  <w:sz w:val="32"/>
                  <w:szCs w:val="32"/>
                  <w:u w:val="none"/>
                </w:rPr>
                <w:t>Securities and Futures</w:t>
              </w:r>
              <w:r>
                <w:rPr>
                  <w:rStyle w:val="Hyperlink"/>
                  <w:rFonts w:ascii="Arial" w:hAnsi="Arial" w:cs="Arial"/>
                  <w:b/>
                  <w:bCs/>
                  <w:color w:val="524B48"/>
                  <w:sz w:val="32"/>
                  <w:szCs w:val="32"/>
                  <w:u w:val="none"/>
                </w:rPr>
                <w:br/>
              </w:r>
              <w:r w:rsidRPr="000F63B1">
                <w:rPr>
                  <w:rStyle w:val="Hyperlink"/>
                  <w:rFonts w:ascii="Arial" w:hAnsi="Arial" w:cs="Arial"/>
                  <w:b/>
                  <w:bCs/>
                  <w:color w:val="524B48"/>
                  <w:sz w:val="32"/>
                  <w:szCs w:val="32"/>
                  <w:u w:val="none"/>
                </w:rPr>
                <w:t>Ordinance (Cap. 571)</w:t>
              </w:r>
            </w:hyperlink>
          </w:p>
          <w:p w14:paraId="50033549" w14:textId="77777777" w:rsidR="00860888" w:rsidRPr="00C65AFD" w:rsidRDefault="00860888" w:rsidP="001B721B">
            <w:pPr>
              <w:jc w:val="center"/>
              <w:rPr>
                <w:rFonts w:ascii="Arial" w:hAnsi="Arial" w:cs="Arial"/>
                <w:b/>
                <w:bCs/>
                <w:sz w:val="24"/>
                <w:szCs w:val="24"/>
              </w:rPr>
            </w:pPr>
          </w:p>
          <w:p w14:paraId="26202104" w14:textId="77777777" w:rsidR="00860888" w:rsidRPr="00C65AFD" w:rsidRDefault="00860888" w:rsidP="001B721B">
            <w:pPr>
              <w:jc w:val="center"/>
              <w:rPr>
                <w:rFonts w:ascii="Arial" w:hAnsi="Arial" w:cs="Arial"/>
                <w:i/>
                <w:color w:val="6C6361"/>
                <w:sz w:val="24"/>
                <w:szCs w:val="24"/>
              </w:rPr>
            </w:pPr>
            <w:r w:rsidRPr="00C65AFD">
              <w:rPr>
                <w:rFonts w:ascii="Arial" w:hAnsi="Arial" w:cs="Arial"/>
                <w:i/>
                <w:color w:val="6C6361"/>
                <w:sz w:val="24"/>
                <w:szCs w:val="24"/>
              </w:rPr>
              <w:t>by</w:t>
            </w:r>
          </w:p>
          <w:p w14:paraId="399F54B8" w14:textId="77777777" w:rsidR="00860888" w:rsidRPr="00C65AFD" w:rsidRDefault="00860888" w:rsidP="001B721B">
            <w:pPr>
              <w:jc w:val="center"/>
              <w:rPr>
                <w:rFonts w:ascii="Arial" w:hAnsi="Arial" w:cs="Arial"/>
                <w:color w:val="524B48"/>
                <w:sz w:val="24"/>
                <w:szCs w:val="24"/>
              </w:rPr>
            </w:pPr>
            <w:hyperlink r:id="rId9"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r. Clemence Yeung</w:t>
              </w:r>
            </w:hyperlink>
            <w:r w:rsidRPr="00C65AFD">
              <w:rPr>
                <w:rFonts w:ascii="Arial" w:hAnsi="Arial" w:cs="Arial"/>
                <w:color w:val="524B48"/>
                <w:sz w:val="24"/>
                <w:szCs w:val="24"/>
              </w:rPr>
              <w:t>,</w:t>
            </w:r>
          </w:p>
          <w:p w14:paraId="3081EE83" w14:textId="77777777" w:rsidR="00860888" w:rsidRPr="00AD645C" w:rsidRDefault="00860888" w:rsidP="001B721B">
            <w:pPr>
              <w:jc w:val="center"/>
              <w:rPr>
                <w:rFonts w:ascii="Arial" w:hAnsi="Arial" w:cs="Arial"/>
                <w:color w:val="6C6361"/>
                <w:sz w:val="8"/>
                <w:szCs w:val="8"/>
              </w:rPr>
            </w:pPr>
            <w:r w:rsidRPr="00AD645C">
              <w:rPr>
                <w:rFonts w:ascii="Arial" w:hAnsi="Arial" w:cs="Arial"/>
                <w:color w:val="6C6361"/>
                <w:sz w:val="24"/>
                <w:szCs w:val="24"/>
              </w:rPr>
              <w:t>Ba</w:t>
            </w:r>
            <w:r>
              <w:rPr>
                <w:rFonts w:ascii="Arial" w:hAnsi="Arial" w:cs="Arial"/>
                <w:color w:val="6C6361"/>
                <w:sz w:val="24"/>
                <w:szCs w:val="24"/>
              </w:rPr>
              <w:t>rrister-at-Law</w:t>
            </w:r>
          </w:p>
        </w:tc>
        <w:tc>
          <w:tcPr>
            <w:tcW w:w="5954" w:type="dxa"/>
            <w:shd w:val="clear" w:color="auto" w:fill="FFFFFF"/>
            <w:vAlign w:val="center"/>
          </w:tcPr>
          <w:p w14:paraId="03A7DF00" w14:textId="77777777" w:rsidR="00860888" w:rsidRPr="00D50772" w:rsidRDefault="00860888" w:rsidP="001B721B">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2971B424" wp14:editId="0A188AB8">
                  <wp:simplePos x="0" y="0"/>
                  <wp:positionH relativeFrom="column">
                    <wp:posOffset>3178810</wp:posOffset>
                  </wp:positionH>
                  <wp:positionV relativeFrom="paragraph">
                    <wp:posOffset>-68580</wp:posOffset>
                  </wp:positionV>
                  <wp:extent cx="539115" cy="539115"/>
                  <wp:effectExtent l="0" t="0" r="0" b="0"/>
                  <wp:wrapNone/>
                  <wp:docPr id="4" name="Graphic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hlinkClick r:id="rId8"/>
                          </pic:cNvPr>
                          <pic:cNvPicPr/>
                        </pic:nvPicPr>
                        <pic:blipFill>
                          <a:blip r:embed="rId10">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A8E6CD0" wp14:editId="74F15BB3">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1579124" w14:textId="77777777" w:rsidR="00860888" w:rsidRPr="000B1A70" w:rsidRDefault="00860888" w:rsidP="00860888">
      <w:pPr>
        <w:spacing w:line="276" w:lineRule="auto"/>
        <w:jc w:val="left"/>
        <w:rPr>
          <w:rFonts w:ascii="Arial" w:hAnsi="Arial" w:cs="Arial"/>
          <w:sz w:val="10"/>
          <w:szCs w:val="10"/>
        </w:rPr>
      </w:pPr>
    </w:p>
    <w:tbl>
      <w:tblPr>
        <w:tblW w:w="10773" w:type="dxa"/>
        <w:jc w:val="center"/>
        <w:tblLook w:val="04A0" w:firstRow="1" w:lastRow="0" w:firstColumn="1" w:lastColumn="0" w:noHBand="0" w:noVBand="1"/>
      </w:tblPr>
      <w:tblGrid>
        <w:gridCol w:w="1985"/>
        <w:gridCol w:w="8788"/>
      </w:tblGrid>
      <w:tr w:rsidR="00860888" w:rsidRPr="00895F3B" w14:paraId="09A3005C" w14:textId="77777777" w:rsidTr="001B721B">
        <w:trPr>
          <w:trHeight w:val="2571"/>
          <w:jc w:val="center"/>
        </w:trPr>
        <w:tc>
          <w:tcPr>
            <w:tcW w:w="1985" w:type="dxa"/>
            <w:shd w:val="clear" w:color="auto" w:fill="FFFFFF"/>
            <w:vAlign w:val="center"/>
          </w:tcPr>
          <w:p w14:paraId="1767D0DF" w14:textId="77777777" w:rsidR="00860888" w:rsidRPr="00895F3B" w:rsidRDefault="00860888" w:rsidP="001B721B">
            <w:pPr>
              <w:spacing w:line="276" w:lineRule="auto"/>
              <w:jc w:val="center"/>
              <w:rPr>
                <w:rFonts w:ascii="Arial" w:hAnsi="Arial" w:cs="Arial"/>
                <w:sz w:val="21"/>
                <w:szCs w:val="21"/>
              </w:rPr>
            </w:pPr>
            <w:r>
              <w:rPr>
                <w:rFonts w:ascii="Arial" w:hAnsi="Arial" w:cs="Arial"/>
                <w:noProof/>
                <w:sz w:val="21"/>
                <w:szCs w:val="21"/>
              </w:rPr>
              <w:drawing>
                <wp:inline distT="0" distB="0" distL="0" distR="0" wp14:anchorId="6A57D0B2" wp14:editId="45EE2171">
                  <wp:extent cx="1080135" cy="1440180"/>
                  <wp:effectExtent l="0" t="0" r="5715" b="7620"/>
                  <wp:docPr id="3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4C4B6BC" w14:textId="77777777" w:rsidR="00860888" w:rsidRPr="005B38D5" w:rsidRDefault="00860888" w:rsidP="00860888">
            <w:pPr>
              <w:pStyle w:val="NormalWeb"/>
              <w:jc w:val="both"/>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w:t>
            </w:r>
            <w:proofErr w:type="spellStart"/>
            <w:r>
              <w:rPr>
                <w:rFonts w:ascii="Arial" w:hAnsi="Arial" w:cs="Arial"/>
                <w:color w:val="6C6361"/>
              </w:rPr>
              <w:t>practised</w:t>
            </w:r>
            <w:proofErr w:type="spellEnd"/>
            <w:r>
              <w:rPr>
                <w:rFonts w:ascii="Arial" w:hAnsi="Arial" w:cs="Arial"/>
                <w:color w:val="6C6361"/>
              </w:rPr>
              <w:t xml:space="preserve">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Halsbury's Laws of Hong Kong Volume 18(1) </w:t>
            </w:r>
            <w:r>
              <w:rPr>
                <w:rFonts w:ascii="Arial" w:hAnsi="Arial" w:cs="Arial"/>
                <w:color w:val="6C6361"/>
              </w:rPr>
              <w:t xml:space="preserve">Maritime Law (Butterworths) and </w:t>
            </w:r>
            <w:r w:rsidRPr="00E82C38">
              <w:rPr>
                <w:rFonts w:ascii="Arial" w:hAnsi="Arial" w:cs="Arial"/>
                <w:color w:val="6C6361"/>
              </w:rPr>
              <w:t xml:space="preserve">has authored a book on the law of </w:t>
            </w:r>
            <w:r>
              <w:rPr>
                <w:rFonts w:ascii="Arial" w:hAnsi="Arial" w:cs="Arial"/>
                <w:color w:val="6C6361"/>
              </w:rPr>
              <w:t xml:space="preserve">unjust enrichment in Hong Kong. </w:t>
            </w:r>
          </w:p>
        </w:tc>
      </w:tr>
    </w:tbl>
    <w:p w14:paraId="4D519224" w14:textId="77777777" w:rsidR="00860888" w:rsidRPr="000B1A70" w:rsidRDefault="00860888" w:rsidP="00860888">
      <w:pPr>
        <w:spacing w:line="276" w:lineRule="auto"/>
        <w:rPr>
          <w:rFonts w:ascii="Arial" w:hAnsi="Arial" w:cs="Arial"/>
          <w:sz w:val="10"/>
          <w:szCs w:val="1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860888" w:rsidRPr="000F63B1" w14:paraId="65A4B6FF" w14:textId="77777777" w:rsidTr="00860888">
        <w:trPr>
          <w:trHeight w:val="2722"/>
          <w:jc w:val="center"/>
        </w:trPr>
        <w:tc>
          <w:tcPr>
            <w:tcW w:w="10773" w:type="dxa"/>
            <w:tcBorders>
              <w:top w:val="nil"/>
              <w:bottom w:val="nil"/>
            </w:tcBorders>
            <w:shd w:val="clear" w:color="auto" w:fill="FFFFFF" w:themeFill="background1"/>
            <w:vAlign w:val="center"/>
          </w:tcPr>
          <w:p w14:paraId="4D604090" w14:textId="77777777" w:rsidR="00860888" w:rsidRPr="000F63B1" w:rsidRDefault="00860888" w:rsidP="001B721B">
            <w:pPr>
              <w:rPr>
                <w:rFonts w:ascii="Arial" w:hAnsi="Arial" w:cs="Arial"/>
                <w:iCs/>
                <w:color w:val="6C6361"/>
                <w:sz w:val="20"/>
                <w:szCs w:val="20"/>
              </w:rPr>
            </w:pPr>
            <w:r w:rsidRPr="000F63B1">
              <w:rPr>
                <w:rFonts w:ascii="Arial" w:hAnsi="Arial" w:cs="Arial"/>
                <w:iCs/>
                <w:color w:val="6C6361"/>
                <w:sz w:val="20"/>
                <w:szCs w:val="20"/>
              </w:rPr>
              <w:t>Where monetary remedies are sought regarding contraventions of provisions in the Securities and Futures Ordinance, the Securities and Futures Commission often relies on s.213(2)(b) of the Ordinance.  But there are questions concerning the scope of the subsection.</w:t>
            </w:r>
          </w:p>
          <w:p w14:paraId="0099AF6E" w14:textId="77777777" w:rsidR="00860888" w:rsidRPr="000F63B1" w:rsidRDefault="00860888" w:rsidP="001B721B">
            <w:pPr>
              <w:rPr>
                <w:rFonts w:ascii="Arial" w:hAnsi="Arial" w:cs="Arial"/>
                <w:iCs/>
                <w:color w:val="6C6361"/>
                <w:sz w:val="10"/>
                <w:szCs w:val="10"/>
              </w:rPr>
            </w:pPr>
          </w:p>
          <w:p w14:paraId="22EBBDA5" w14:textId="77777777" w:rsidR="00860888" w:rsidRPr="000F63B1" w:rsidRDefault="00860888" w:rsidP="001B721B">
            <w:pPr>
              <w:rPr>
                <w:rFonts w:ascii="Arial" w:hAnsi="Arial" w:cs="Arial"/>
                <w:iCs/>
                <w:color w:val="6C6361"/>
                <w:sz w:val="20"/>
                <w:szCs w:val="20"/>
              </w:rPr>
            </w:pPr>
            <w:r w:rsidRPr="000F63B1">
              <w:rPr>
                <w:rFonts w:ascii="Arial" w:hAnsi="Arial" w:cs="Arial"/>
                <w:iCs/>
                <w:color w:val="6C6361"/>
                <w:sz w:val="20"/>
                <w:szCs w:val="20"/>
              </w:rPr>
              <w:t>Does it entitle the Court to make an order against contraveners in respect of transactions to which they are not parties? Does it give jurisdiction to make compensatory orders? Does it permit an order for account of profits to be made? And does it empower the court to make an order that contemplates a class remedy?</w:t>
            </w:r>
          </w:p>
          <w:p w14:paraId="48D71CA3" w14:textId="77777777" w:rsidR="00860888" w:rsidRPr="000F63B1" w:rsidRDefault="00860888" w:rsidP="001B721B">
            <w:pPr>
              <w:rPr>
                <w:rFonts w:ascii="Arial" w:hAnsi="Arial" w:cs="Arial"/>
                <w:iCs/>
                <w:color w:val="6C6361"/>
                <w:sz w:val="10"/>
                <w:szCs w:val="10"/>
              </w:rPr>
            </w:pPr>
          </w:p>
          <w:p w14:paraId="7F72794F" w14:textId="77777777" w:rsidR="00860888" w:rsidRPr="000F63B1" w:rsidRDefault="00860888" w:rsidP="001B721B">
            <w:pPr>
              <w:spacing w:line="276" w:lineRule="auto"/>
              <w:rPr>
                <w:rFonts w:ascii="Arial" w:hAnsi="Arial" w:cs="Arial"/>
                <w:iCs/>
                <w:color w:val="6C6361"/>
                <w:sz w:val="20"/>
                <w:szCs w:val="20"/>
              </w:rPr>
            </w:pPr>
            <w:r w:rsidRPr="000F63B1">
              <w:rPr>
                <w:rFonts w:ascii="Arial" w:hAnsi="Arial" w:cs="Arial"/>
                <w:iCs/>
                <w:color w:val="6C6361"/>
                <w:sz w:val="20"/>
                <w:szCs w:val="20"/>
              </w:rPr>
              <w:t xml:space="preserve">This talk will consider these questions and discuss the relevance of Securities Investments Board v </w:t>
            </w:r>
            <w:proofErr w:type="spellStart"/>
            <w:r w:rsidRPr="000F63B1">
              <w:rPr>
                <w:rFonts w:ascii="Arial" w:hAnsi="Arial" w:cs="Arial"/>
                <w:iCs/>
                <w:color w:val="6C6361"/>
                <w:sz w:val="20"/>
                <w:szCs w:val="20"/>
              </w:rPr>
              <w:t>Pantell</w:t>
            </w:r>
            <w:proofErr w:type="spellEnd"/>
            <w:r w:rsidRPr="000F63B1">
              <w:rPr>
                <w:rFonts w:ascii="Arial" w:hAnsi="Arial" w:cs="Arial"/>
                <w:iCs/>
                <w:color w:val="6C6361"/>
                <w:sz w:val="20"/>
                <w:szCs w:val="20"/>
              </w:rPr>
              <w:t xml:space="preserve"> S.A. and Others [1993] Ch 256.  A decision of the English Court of Appeal, </w:t>
            </w:r>
            <w:proofErr w:type="spellStart"/>
            <w:r w:rsidRPr="000F63B1">
              <w:rPr>
                <w:rFonts w:ascii="Arial" w:hAnsi="Arial" w:cs="Arial"/>
                <w:iCs/>
                <w:color w:val="6C6361"/>
                <w:sz w:val="20"/>
                <w:szCs w:val="20"/>
              </w:rPr>
              <w:t>Pantell</w:t>
            </w:r>
            <w:proofErr w:type="spellEnd"/>
            <w:r w:rsidRPr="000F63B1">
              <w:rPr>
                <w:rFonts w:ascii="Arial" w:hAnsi="Arial" w:cs="Arial"/>
                <w:iCs/>
                <w:color w:val="6C6361"/>
                <w:sz w:val="20"/>
                <w:szCs w:val="20"/>
              </w:rPr>
              <w:t xml:space="preserve"> S.A. may not have been given sufficient attention in the Hong Kong cases, even though some of the material words in the relevant provision considered in that case (s.6(2) of the Financial Services Act 1986) and in s.213(2)(b) of the Ordinance are almost identical.</w:t>
            </w:r>
          </w:p>
        </w:tc>
      </w:tr>
      <w:tr w:rsidR="00860888" w:rsidRPr="000F63B1" w14:paraId="445DC8C0" w14:textId="77777777" w:rsidTr="001B721B">
        <w:trPr>
          <w:trHeight w:val="284"/>
          <w:jc w:val="center"/>
        </w:trPr>
        <w:tc>
          <w:tcPr>
            <w:tcW w:w="10773" w:type="dxa"/>
            <w:tcBorders>
              <w:top w:val="nil"/>
              <w:bottom w:val="nil"/>
            </w:tcBorders>
            <w:shd w:val="clear" w:color="auto" w:fill="F0EBE1"/>
            <w:vAlign w:val="center"/>
          </w:tcPr>
          <w:p w14:paraId="7B0D32AB" w14:textId="77777777" w:rsidR="00860888" w:rsidRPr="000F63B1" w:rsidRDefault="00860888" w:rsidP="001B721B">
            <w:pPr>
              <w:rPr>
                <w:rFonts w:ascii="Arial" w:hAnsi="Arial" w:cs="Arial"/>
                <w:b/>
                <w:color w:val="524B48"/>
                <w:sz w:val="20"/>
                <w:szCs w:val="20"/>
              </w:rPr>
            </w:pPr>
            <w:r w:rsidRPr="000F63B1">
              <w:rPr>
                <w:rFonts w:ascii="Arial" w:hAnsi="Arial" w:cs="Arial"/>
                <w:b/>
                <w:color w:val="524B48"/>
                <w:sz w:val="20"/>
                <w:szCs w:val="20"/>
              </w:rPr>
              <w:t>The talk will discuss the following Hong Kong cases:</w:t>
            </w:r>
          </w:p>
        </w:tc>
      </w:tr>
      <w:tr w:rsidR="00860888" w:rsidRPr="000F63B1" w14:paraId="4696FCEC" w14:textId="77777777" w:rsidTr="00860888">
        <w:trPr>
          <w:trHeight w:val="1928"/>
          <w:jc w:val="center"/>
        </w:trPr>
        <w:tc>
          <w:tcPr>
            <w:tcW w:w="10773" w:type="dxa"/>
            <w:tcBorders>
              <w:top w:val="nil"/>
              <w:bottom w:val="nil"/>
            </w:tcBorders>
            <w:shd w:val="clear" w:color="auto" w:fill="FFFFFF" w:themeFill="background1"/>
            <w:vAlign w:val="center"/>
          </w:tcPr>
          <w:p w14:paraId="5CEB46B0" w14:textId="77777777" w:rsidR="00860888" w:rsidRPr="000F63B1" w:rsidRDefault="00860888" w:rsidP="00860888">
            <w:pPr>
              <w:pStyle w:val="ListParagraph"/>
              <w:numPr>
                <w:ilvl w:val="1"/>
                <w:numId w:val="18"/>
              </w:numPr>
              <w:spacing w:line="276" w:lineRule="auto"/>
              <w:rPr>
                <w:rFonts w:ascii="Arial" w:hAnsi="Arial" w:cs="Arial"/>
                <w:iCs/>
                <w:color w:val="6C6361"/>
                <w:sz w:val="20"/>
                <w:szCs w:val="20"/>
              </w:rPr>
            </w:pPr>
            <w:r w:rsidRPr="000F63B1">
              <w:rPr>
                <w:noProof/>
                <w:sz w:val="20"/>
                <w:szCs w:val="20"/>
              </w:rPr>
              <w:drawing>
                <wp:anchor distT="0" distB="0" distL="114300" distR="114300" simplePos="0" relativeHeight="251660288" behindDoc="0" locked="0" layoutInCell="1" allowOverlap="1" wp14:anchorId="5B85D1A7" wp14:editId="021E6D9A">
                  <wp:simplePos x="0" y="0"/>
                  <wp:positionH relativeFrom="column">
                    <wp:posOffset>5754370</wp:posOffset>
                  </wp:positionH>
                  <wp:positionV relativeFrom="paragraph">
                    <wp:posOffset>43815</wp:posOffset>
                  </wp:positionV>
                  <wp:extent cx="890270" cy="1019175"/>
                  <wp:effectExtent l="0" t="0" r="5080" b="9525"/>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270" cy="1019175"/>
                          </a:xfrm>
                          <a:prstGeom prst="rect">
                            <a:avLst/>
                          </a:prstGeom>
                        </pic:spPr>
                      </pic:pic>
                    </a:graphicData>
                  </a:graphic>
                  <wp14:sizeRelH relativeFrom="margin">
                    <wp14:pctWidth>0</wp14:pctWidth>
                  </wp14:sizeRelH>
                  <wp14:sizeRelV relativeFrom="margin">
                    <wp14:pctHeight>0</wp14:pctHeight>
                  </wp14:sizeRelV>
                </wp:anchor>
              </w:drawing>
            </w:r>
            <w:r w:rsidRPr="000F63B1">
              <w:rPr>
                <w:rFonts w:ascii="Arial" w:hAnsi="Arial" w:cs="Arial"/>
                <w:iCs/>
                <w:color w:val="6C6361"/>
                <w:sz w:val="20"/>
                <w:szCs w:val="20"/>
              </w:rPr>
              <w:t xml:space="preserve">Securities and Futures Commission v </w:t>
            </w:r>
            <w:proofErr w:type="spellStart"/>
            <w:r w:rsidRPr="000F63B1">
              <w:rPr>
                <w:rFonts w:ascii="Arial" w:hAnsi="Arial" w:cs="Arial"/>
                <w:iCs/>
                <w:color w:val="6C6361"/>
                <w:sz w:val="20"/>
                <w:szCs w:val="20"/>
              </w:rPr>
              <w:t>Qunxing</w:t>
            </w:r>
            <w:proofErr w:type="spellEnd"/>
            <w:r w:rsidRPr="000F63B1">
              <w:rPr>
                <w:rFonts w:ascii="Arial" w:hAnsi="Arial" w:cs="Arial"/>
                <w:iCs/>
                <w:color w:val="6C6361"/>
                <w:sz w:val="20"/>
                <w:szCs w:val="20"/>
              </w:rPr>
              <w:t xml:space="preserve"> Paper Holdings Co Ltd (No 2) [2018] 1 HKLRD 1060</w:t>
            </w:r>
          </w:p>
          <w:p w14:paraId="4903BF14" w14:textId="77777777" w:rsidR="00860888" w:rsidRPr="000F63B1" w:rsidRDefault="00860888" w:rsidP="00860888">
            <w:pPr>
              <w:pStyle w:val="ListParagraph"/>
              <w:numPr>
                <w:ilvl w:val="1"/>
                <w:numId w:val="18"/>
              </w:numPr>
              <w:spacing w:line="276" w:lineRule="auto"/>
              <w:rPr>
                <w:rFonts w:ascii="Arial" w:hAnsi="Arial" w:cs="Arial"/>
                <w:iCs/>
                <w:color w:val="6C6361"/>
                <w:sz w:val="20"/>
                <w:szCs w:val="20"/>
              </w:rPr>
            </w:pPr>
            <w:r w:rsidRPr="000F63B1">
              <w:rPr>
                <w:rFonts w:ascii="Arial" w:hAnsi="Arial" w:cs="Arial"/>
                <w:iCs/>
                <w:color w:val="6C6361"/>
                <w:sz w:val="20"/>
                <w:szCs w:val="20"/>
              </w:rPr>
              <w:t>Securities and Futures Commission v Young Bik Fung &amp; Others [2016] 1 HKLRD 1249</w:t>
            </w:r>
          </w:p>
          <w:p w14:paraId="2FC646BF" w14:textId="77777777" w:rsidR="00860888" w:rsidRPr="000F63B1" w:rsidRDefault="00860888" w:rsidP="00860888">
            <w:pPr>
              <w:pStyle w:val="ListParagraph"/>
              <w:numPr>
                <w:ilvl w:val="1"/>
                <w:numId w:val="18"/>
              </w:numPr>
              <w:spacing w:line="276" w:lineRule="auto"/>
              <w:rPr>
                <w:rFonts w:ascii="Arial" w:hAnsi="Arial" w:cs="Arial"/>
                <w:iCs/>
                <w:color w:val="6C6361"/>
                <w:sz w:val="20"/>
                <w:szCs w:val="20"/>
              </w:rPr>
            </w:pPr>
            <w:r w:rsidRPr="000F63B1">
              <w:rPr>
                <w:rFonts w:ascii="Arial" w:hAnsi="Arial" w:cs="Arial"/>
                <w:iCs/>
                <w:color w:val="6C6361"/>
                <w:sz w:val="20"/>
                <w:szCs w:val="20"/>
              </w:rPr>
              <w:t>Securities and Futures Commission v Sun Min [2017] 4 HKLRD 211</w:t>
            </w:r>
          </w:p>
          <w:p w14:paraId="6494D71D" w14:textId="77777777" w:rsidR="00860888" w:rsidRPr="000F63B1" w:rsidRDefault="00860888" w:rsidP="00860888">
            <w:pPr>
              <w:pStyle w:val="ListParagraph"/>
              <w:numPr>
                <w:ilvl w:val="1"/>
                <w:numId w:val="18"/>
              </w:numPr>
              <w:spacing w:line="276" w:lineRule="auto"/>
              <w:rPr>
                <w:rFonts w:ascii="Arial" w:hAnsi="Arial" w:cs="Arial"/>
                <w:iCs/>
                <w:color w:val="6C6361"/>
                <w:sz w:val="20"/>
                <w:szCs w:val="20"/>
              </w:rPr>
            </w:pPr>
            <w:r w:rsidRPr="000F63B1">
              <w:rPr>
                <w:rFonts w:ascii="Arial" w:hAnsi="Arial" w:cs="Arial"/>
                <w:iCs/>
                <w:color w:val="6C6361"/>
                <w:sz w:val="20"/>
                <w:szCs w:val="20"/>
              </w:rPr>
              <w:t xml:space="preserve">Securities and Futures Commission v Mo </w:t>
            </w:r>
            <w:proofErr w:type="spellStart"/>
            <w:r w:rsidRPr="000F63B1">
              <w:rPr>
                <w:rFonts w:ascii="Arial" w:hAnsi="Arial" w:cs="Arial"/>
                <w:iCs/>
                <w:color w:val="6C6361"/>
                <w:sz w:val="20"/>
                <w:szCs w:val="20"/>
              </w:rPr>
              <w:t>Shau</w:t>
            </w:r>
            <w:proofErr w:type="spellEnd"/>
            <w:r w:rsidRPr="000F63B1">
              <w:rPr>
                <w:rFonts w:ascii="Arial" w:hAnsi="Arial" w:cs="Arial"/>
                <w:iCs/>
                <w:color w:val="6C6361"/>
                <w:sz w:val="20"/>
                <w:szCs w:val="20"/>
              </w:rPr>
              <w:t xml:space="preserve"> Wah [2018] 3 HKLRD 356</w:t>
            </w:r>
          </w:p>
          <w:p w14:paraId="3D0D698C" w14:textId="77777777" w:rsidR="00860888" w:rsidRPr="000F63B1" w:rsidRDefault="00860888" w:rsidP="00860888">
            <w:pPr>
              <w:pStyle w:val="ListParagraph"/>
              <w:numPr>
                <w:ilvl w:val="1"/>
                <w:numId w:val="18"/>
              </w:numPr>
              <w:spacing w:line="276" w:lineRule="auto"/>
              <w:rPr>
                <w:rFonts w:ascii="Arial" w:hAnsi="Arial" w:cs="Arial"/>
                <w:iCs/>
                <w:color w:val="6C6361"/>
                <w:sz w:val="20"/>
                <w:szCs w:val="20"/>
              </w:rPr>
            </w:pPr>
            <w:r w:rsidRPr="000F63B1">
              <w:rPr>
                <w:rFonts w:ascii="Arial" w:hAnsi="Arial" w:cs="Arial"/>
                <w:iCs/>
                <w:color w:val="6C6361"/>
                <w:sz w:val="20"/>
                <w:szCs w:val="20"/>
              </w:rPr>
              <w:t>Securities and Futures Commission v Maxim Capital Limited &amp; Another (unreported, HCA 2482/2015, 7 June 2022)</w:t>
            </w:r>
          </w:p>
        </w:tc>
      </w:tr>
    </w:tbl>
    <w:p w14:paraId="365B2BC0" w14:textId="77777777" w:rsidR="00860888" w:rsidRPr="00860888" w:rsidRDefault="00860888" w:rsidP="009D6585">
      <w:pPr>
        <w:spacing w:line="276" w:lineRule="auto"/>
        <w:rPr>
          <w:rFonts w:ascii="Arial" w:hAnsi="Arial" w:cs="Arial"/>
          <w:sz w:val="10"/>
          <w:szCs w:val="1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860888" w:rsidRPr="00B90951" w14:paraId="6155DD7B" w14:textId="77777777" w:rsidTr="00860888">
        <w:trPr>
          <w:trHeight w:val="227"/>
          <w:jc w:val="center"/>
        </w:trPr>
        <w:tc>
          <w:tcPr>
            <w:tcW w:w="1701" w:type="dxa"/>
            <w:tcBorders>
              <w:top w:val="nil"/>
              <w:left w:val="nil"/>
              <w:bottom w:val="single" w:sz="12" w:space="0" w:color="FFFFFF"/>
            </w:tcBorders>
            <w:shd w:val="clear" w:color="auto" w:fill="F0EBE1"/>
            <w:vAlign w:val="center"/>
          </w:tcPr>
          <w:p w14:paraId="4F025F20" w14:textId="3FAB9A87"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29081C7A" w14:textId="7576084D"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EVT000000411</w:t>
            </w:r>
          </w:p>
        </w:tc>
        <w:tc>
          <w:tcPr>
            <w:tcW w:w="1701" w:type="dxa"/>
            <w:tcBorders>
              <w:top w:val="nil"/>
              <w:bottom w:val="single" w:sz="12" w:space="0" w:color="FFFFFF"/>
            </w:tcBorders>
            <w:shd w:val="clear" w:color="auto" w:fill="F0EBE1"/>
            <w:vAlign w:val="center"/>
          </w:tcPr>
          <w:p w14:paraId="37394398" w14:textId="6DF3EFBF"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2AE2FECE" w14:textId="616618BD"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860888" w:rsidRPr="00B90951" w14:paraId="5E9FFF9C" w14:textId="77777777" w:rsidTr="00860888">
        <w:trPr>
          <w:trHeight w:val="227"/>
          <w:jc w:val="center"/>
        </w:trPr>
        <w:tc>
          <w:tcPr>
            <w:tcW w:w="1701" w:type="dxa"/>
            <w:tcBorders>
              <w:top w:val="single" w:sz="12" w:space="0" w:color="FFFFFF"/>
              <w:left w:val="nil"/>
              <w:bottom w:val="single" w:sz="12" w:space="0" w:color="FFFFFF"/>
            </w:tcBorders>
            <w:shd w:val="clear" w:color="auto" w:fill="F0EBE1"/>
            <w:vAlign w:val="center"/>
          </w:tcPr>
          <w:p w14:paraId="361E9DD0" w14:textId="5A4C4854"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4EE6D7" w14:textId="77777777" w:rsidR="00860888"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 October 2023 (Tuesday)</w:t>
            </w:r>
          </w:p>
          <w:p w14:paraId="4F98FE24" w14:textId="69FA8D49"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3B5A9327" w14:textId="60C2CD1B"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CCC2479" w14:textId="3119C664"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860888" w:rsidRPr="00B90951" w14:paraId="61C431CE" w14:textId="77777777" w:rsidTr="00860888">
        <w:trPr>
          <w:trHeight w:val="227"/>
          <w:jc w:val="center"/>
        </w:trPr>
        <w:tc>
          <w:tcPr>
            <w:tcW w:w="1701" w:type="dxa"/>
            <w:tcBorders>
              <w:top w:val="single" w:sz="12" w:space="0" w:color="FFFFFF"/>
              <w:left w:val="nil"/>
              <w:bottom w:val="single" w:sz="12" w:space="0" w:color="FFFFFF"/>
            </w:tcBorders>
            <w:shd w:val="clear" w:color="auto" w:fill="F0EBE1"/>
            <w:vAlign w:val="center"/>
          </w:tcPr>
          <w:p w14:paraId="3B1DF2B7" w14:textId="60CC606B"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426407F6" w14:textId="77777777"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13</w:t>
            </w:r>
            <w:r w:rsidRPr="00B90951">
              <w:rPr>
                <w:rFonts w:ascii="Arial" w:hAnsi="Arial" w:cs="Arial"/>
                <w:b/>
                <w:color w:val="6C6361"/>
                <w:sz w:val="20"/>
                <w:szCs w:val="20"/>
              </w:rPr>
              <w:t>:</w:t>
            </w:r>
            <w:r>
              <w:rPr>
                <w:rFonts w:ascii="Arial" w:hAnsi="Arial" w:cs="Arial"/>
                <w:b/>
                <w:color w:val="6C6361"/>
                <w:sz w:val="20"/>
                <w:szCs w:val="20"/>
              </w:rPr>
              <w:t>0</w:t>
            </w:r>
            <w:r w:rsidRPr="00B90951">
              <w:rPr>
                <w:rFonts w:ascii="Arial" w:hAnsi="Arial" w:cs="Arial"/>
                <w:b/>
                <w:color w:val="6C6361"/>
                <w:sz w:val="20"/>
                <w:szCs w:val="20"/>
              </w:rPr>
              <w:t xml:space="preserve">0 </w:t>
            </w:r>
            <w:r>
              <w:rPr>
                <w:rFonts w:ascii="Arial" w:hAnsi="Arial" w:cs="Arial"/>
                <w:b/>
                <w:color w:val="6C6361"/>
                <w:sz w:val="20"/>
                <w:szCs w:val="20"/>
              </w:rPr>
              <w:t>-</w:t>
            </w:r>
            <w:r w:rsidRPr="00B90951">
              <w:rPr>
                <w:rFonts w:ascii="Arial" w:hAnsi="Arial" w:cs="Arial"/>
                <w:b/>
                <w:color w:val="6C6361"/>
                <w:sz w:val="20"/>
                <w:szCs w:val="20"/>
              </w:rPr>
              <w:t xml:space="preserve"> 1</w:t>
            </w:r>
            <w:r>
              <w:rPr>
                <w:rFonts w:ascii="Arial" w:hAnsi="Arial" w:cs="Arial"/>
                <w:b/>
                <w:color w:val="6C6361"/>
                <w:sz w:val="20"/>
                <w:szCs w:val="20"/>
              </w:rPr>
              <w:t>4:00</w:t>
            </w:r>
          </w:p>
          <w:p w14:paraId="08653ECA" w14:textId="12923B77"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Pr>
                <w:rFonts w:ascii="Arial" w:hAnsi="Arial" w:cs="Arial"/>
                <w:color w:val="6C6361"/>
                <w:sz w:val="20"/>
                <w:szCs w:val="20"/>
              </w:rPr>
              <w:t>12</w:t>
            </w:r>
            <w:r w:rsidRPr="00B90951">
              <w:rPr>
                <w:rFonts w:ascii="Arial" w:hAnsi="Arial" w:cs="Arial"/>
                <w:color w:val="6C6361"/>
                <w:sz w:val="20"/>
                <w:szCs w:val="20"/>
              </w:rPr>
              <w:t>:</w:t>
            </w:r>
            <w:r>
              <w:rPr>
                <w:rFonts w:ascii="Arial" w:hAnsi="Arial" w:cs="Arial"/>
                <w:color w:val="6C6361"/>
                <w:sz w:val="20"/>
                <w:szCs w:val="20"/>
              </w:rPr>
              <w:t>3</w:t>
            </w:r>
            <w:r w:rsidRPr="00B90951">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14:paraId="2F26908B" w14:textId="0F556F55" w:rsidR="00860888" w:rsidRPr="00B90951"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26F3F7C2" w14:textId="77777777" w:rsidR="00860888"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1.0 CPD Point</w:t>
            </w:r>
          </w:p>
          <w:p w14:paraId="7583F112" w14:textId="7874A67D" w:rsidR="00860888" w:rsidRPr="005C4BC9" w:rsidRDefault="00860888" w:rsidP="00860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1.0 CPT Hour</w:t>
            </w:r>
          </w:p>
        </w:tc>
      </w:tr>
      <w:tr w:rsidR="009D6585" w:rsidRPr="00B90951" w14:paraId="6B9B0498" w14:textId="77777777" w:rsidTr="008B68E5">
        <w:trPr>
          <w:trHeight w:val="397"/>
          <w:jc w:val="center"/>
        </w:trPr>
        <w:tc>
          <w:tcPr>
            <w:tcW w:w="1701" w:type="dxa"/>
            <w:tcBorders>
              <w:top w:val="single" w:sz="12" w:space="0" w:color="FFFFFF"/>
              <w:left w:val="nil"/>
              <w:bottom w:val="nil"/>
            </w:tcBorders>
            <w:shd w:val="clear" w:color="auto" w:fill="F0EBE1"/>
            <w:vAlign w:val="center"/>
          </w:tcPr>
          <w:p w14:paraId="3EB785D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2195CF43"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B3D0E7E"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4061A063"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7C52BAAC"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CD047FB"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2D66267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42DDE172"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5048D062" wp14:editId="146F195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51E99D2"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11FFEB1A"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21EB07CF"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0974EF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57BE21F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342ADE32"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052CF5DB" wp14:editId="28E089B5">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350C32A8"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40802" w14:textId="77777777" w:rsidR="00A07258" w:rsidRDefault="00A07258" w:rsidP="00546556">
      <w:r>
        <w:separator/>
      </w:r>
    </w:p>
  </w:endnote>
  <w:endnote w:type="continuationSeparator" w:id="0">
    <w:p w14:paraId="6601EF35" w14:textId="77777777" w:rsidR="00A07258" w:rsidRDefault="00A0725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CB1E"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3D6132B" w14:textId="77777777" w:rsidTr="00A775CE">
      <w:trPr>
        <w:trHeight w:val="1824"/>
        <w:jc w:val="center"/>
      </w:trPr>
      <w:tc>
        <w:tcPr>
          <w:tcW w:w="5954" w:type="dxa"/>
          <w:vAlign w:val="bottom"/>
        </w:tcPr>
        <w:p w14:paraId="618F3A5A"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73E8F4DB" wp14:editId="4B06721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4EBE8395" w14:textId="77777777" w:rsidR="00197F64" w:rsidRPr="00EA2D57" w:rsidRDefault="00197F64" w:rsidP="00197F64">
          <w:pPr>
            <w:ind w:right="33"/>
            <w:jc w:val="center"/>
            <w:rPr>
              <w:rFonts w:ascii="Arial" w:hAnsi="Arial" w:cs="Arial"/>
              <w:color w:val="E4DCCA"/>
              <w:sz w:val="16"/>
              <w:szCs w:val="16"/>
            </w:rPr>
          </w:pPr>
        </w:p>
        <w:p w14:paraId="7DCAD2C0"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90417F8"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D18679F"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0C4C397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5153B1FF" wp14:editId="12E07515">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634684D7"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36325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DAD8FA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766BAD6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1BE88F81"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06AA2128"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D4829" w14:textId="77777777" w:rsidR="00A07258" w:rsidRDefault="00A07258" w:rsidP="00546556">
      <w:r>
        <w:separator/>
      </w:r>
    </w:p>
  </w:footnote>
  <w:footnote w:type="continuationSeparator" w:id="0">
    <w:p w14:paraId="623A7717" w14:textId="77777777" w:rsidR="00A07258" w:rsidRDefault="00A07258"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8545" w14:textId="77777777" w:rsidR="002C4DC0" w:rsidRDefault="00F0384F">
    <w:pPr>
      <w:pStyle w:val="Header"/>
    </w:pPr>
    <w:r>
      <w:rPr>
        <w:noProof/>
      </w:rPr>
      <w:drawing>
        <wp:anchor distT="0" distB="0" distL="114300" distR="114300" simplePos="0" relativeHeight="251659264" behindDoc="1" locked="0" layoutInCell="1" allowOverlap="1" wp14:anchorId="14520912" wp14:editId="2A32A4CC">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C6C4A0A"/>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484CCE"/>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tp7WNiKLBh77hH9kUxIpvBNYtyAG2Em5knNeBWptZ1wvj1e2h54uB5EZpDt7xJsGfbfob2w/DlhMI43JGA0P4Q==" w:salt="I3UAuLbz3+l+Qg6Z3zonq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1C69"/>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35A"/>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441"/>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4BA7"/>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1BB5"/>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1E0"/>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0E1E"/>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9B9"/>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1813"/>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AF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E50"/>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1C05"/>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0888"/>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8E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293"/>
    <w:rsid w:val="009F7C96"/>
    <w:rsid w:val="00A00032"/>
    <w:rsid w:val="00A00310"/>
    <w:rsid w:val="00A004A3"/>
    <w:rsid w:val="00A03188"/>
    <w:rsid w:val="00A045AD"/>
    <w:rsid w:val="00A04BFB"/>
    <w:rsid w:val="00A04F62"/>
    <w:rsid w:val="00A05AC6"/>
    <w:rsid w:val="00A05F57"/>
    <w:rsid w:val="00A06BB3"/>
    <w:rsid w:val="00A07258"/>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5C16"/>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521E"/>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B4F39"/>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41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1026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CD30B-4479-43D5-A6C4-DD5E22D6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International Insolvency</vt:lpstr>
    </vt:vector>
  </TitlesOfParts>
  <Manager>Tyrone Tsang</Manager>
  <Company>The Profectional Company Limited</Company>
  <LinksUpToDate>false</LinksUpToDate>
  <CharactersWithSpaces>2604</CharactersWithSpaces>
  <SharedDoc>false</SharedDoc>
  <HyperlinkBase>http://download.profectional.com/events/EVT000000411.docx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Section 213(2)(b) of the Securities and Futures Ordinance (Cap. 571)</dc:title>
  <dc:subject>CPD Course, CPT Course: Section 213(2)(b) of the Securities and Futures Ordinance (Cap. 571)</dc:subject>
  <dc:creator>The Profectional Company Limited</dc:creator>
  <cp:keywords>Profectional; Kornerstone; CPD; CPT; CLE; CE; RME; Clemence Yeung; Barrister-at-Law</cp:keywords>
  <dc:description/>
  <cp:lastModifiedBy>Tyrone Tsang</cp:lastModifiedBy>
  <cp:revision>76</cp:revision>
  <cp:lastPrinted>2023-10-02T10:06:00Z</cp:lastPrinted>
  <dcterms:created xsi:type="dcterms:W3CDTF">2017-01-12T02:41:00Z</dcterms:created>
  <dcterms:modified xsi:type="dcterms:W3CDTF">2023-10-02T10:06:00Z</dcterms:modified>
  <cp:category/>
</cp:coreProperties>
</file>