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689F1" w14:textId="77777777" w:rsidR="000342D0" w:rsidRPr="000342D0" w:rsidRDefault="000342D0" w:rsidP="000342D0">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0342D0" w:rsidRPr="00523A64" w14:paraId="4F1D722D" w14:textId="77777777" w:rsidTr="00102A81">
        <w:trPr>
          <w:trHeight w:val="3119"/>
          <w:jc w:val="center"/>
        </w:trPr>
        <w:tc>
          <w:tcPr>
            <w:tcW w:w="4820" w:type="dxa"/>
            <w:shd w:val="clear" w:color="auto" w:fill="FFFFFF"/>
            <w:vAlign w:val="center"/>
          </w:tcPr>
          <w:p w14:paraId="7C46D56A" w14:textId="77777777" w:rsidR="000342D0" w:rsidRPr="008259A9" w:rsidRDefault="000342D0" w:rsidP="00102A81">
            <w:pPr>
              <w:jc w:val="center"/>
              <w:rPr>
                <w:rFonts w:ascii="Arial" w:hAnsi="Arial" w:cs="Arial"/>
                <w:b/>
                <w:bCs/>
                <w:color w:val="524B48"/>
                <w:sz w:val="4"/>
                <w:szCs w:val="4"/>
              </w:rPr>
            </w:pPr>
          </w:p>
          <w:p w14:paraId="44762ECE" w14:textId="77777777" w:rsidR="000342D0" w:rsidRDefault="000342D0" w:rsidP="00102A81">
            <w:pPr>
              <w:jc w:val="center"/>
              <w:rPr>
                <w:rStyle w:val="Hyperlink"/>
                <w:rFonts w:ascii="Arial" w:hAnsi="Arial" w:cs="Arial"/>
                <w:b/>
                <w:bCs/>
                <w:color w:val="524B48"/>
                <w:sz w:val="32"/>
                <w:szCs w:val="32"/>
                <w:u w:val="none"/>
              </w:rPr>
            </w:pPr>
            <w:r>
              <w:fldChar w:fldCharType="begin"/>
            </w:r>
            <w:r>
              <w:instrText>HYPERLINK "http://cpd.hk/evt000000413/"</w:instrText>
            </w:r>
            <w:r>
              <w:fldChar w:fldCharType="separate"/>
            </w:r>
            <w:r>
              <w:rPr>
                <w:rStyle w:val="Hyperlink"/>
                <w:rFonts w:ascii="Arial" w:hAnsi="Arial" w:cs="Arial"/>
                <w:b/>
                <w:bCs/>
                <w:color w:val="524B48"/>
                <w:sz w:val="32"/>
                <w:szCs w:val="32"/>
                <w:u w:val="none"/>
              </w:rPr>
              <w:t>Procedural Fairness</w:t>
            </w:r>
          </w:p>
          <w:p w14:paraId="04EE72E0" w14:textId="77777777" w:rsidR="000342D0" w:rsidRDefault="000342D0" w:rsidP="00102A81">
            <w:pPr>
              <w:jc w:val="center"/>
              <w:rPr>
                <w:rStyle w:val="Hyperlink"/>
                <w:rFonts w:ascii="Arial" w:hAnsi="Arial" w:cs="Arial"/>
                <w:b/>
                <w:bCs/>
                <w:color w:val="524B48"/>
                <w:sz w:val="32"/>
                <w:szCs w:val="32"/>
                <w:u w:val="none"/>
              </w:rPr>
            </w:pPr>
            <w:r w:rsidRPr="000567DE">
              <w:rPr>
                <w:rStyle w:val="Hyperlink"/>
                <w:rFonts w:ascii="Arial" w:hAnsi="Arial" w:cs="Arial"/>
                <w:b/>
                <w:bCs/>
                <w:color w:val="524B48"/>
                <w:sz w:val="32"/>
                <w:szCs w:val="32"/>
                <w:u w:val="none"/>
              </w:rPr>
              <w:t xml:space="preserve">as </w:t>
            </w:r>
            <w:r>
              <w:rPr>
                <w:rStyle w:val="Hyperlink"/>
                <w:rFonts w:ascii="Arial" w:hAnsi="Arial" w:cs="Arial"/>
                <w:b/>
                <w:bCs/>
                <w:color w:val="524B48"/>
                <w:sz w:val="32"/>
                <w:szCs w:val="32"/>
                <w:u w:val="none"/>
              </w:rPr>
              <w:t>a Ground</w:t>
            </w:r>
          </w:p>
          <w:p w14:paraId="4AB9AD47" w14:textId="77777777" w:rsidR="000342D0" w:rsidRPr="00032DE4" w:rsidRDefault="000342D0" w:rsidP="00102A81">
            <w:pPr>
              <w:jc w:val="center"/>
              <w:rPr>
                <w:rFonts w:ascii="Arial" w:hAnsi="Arial" w:cs="Arial"/>
                <w:b/>
                <w:bCs/>
                <w:color w:val="524B48"/>
                <w:sz w:val="32"/>
                <w:szCs w:val="32"/>
              </w:rPr>
            </w:pPr>
            <w:r w:rsidRPr="000567DE">
              <w:rPr>
                <w:rStyle w:val="Hyperlink"/>
                <w:rFonts w:ascii="Arial" w:hAnsi="Arial" w:cs="Arial"/>
                <w:b/>
                <w:bCs/>
                <w:color w:val="524B48"/>
                <w:sz w:val="32"/>
                <w:szCs w:val="32"/>
                <w:u w:val="none"/>
              </w:rPr>
              <w:t>o</w:t>
            </w:r>
            <w:r>
              <w:rPr>
                <w:rStyle w:val="Hyperlink"/>
                <w:rFonts w:ascii="Arial" w:hAnsi="Arial" w:cs="Arial"/>
                <w:b/>
                <w:bCs/>
                <w:color w:val="524B48"/>
                <w:sz w:val="32"/>
                <w:szCs w:val="32"/>
                <w:u w:val="none"/>
              </w:rPr>
              <w:t>f</w:t>
            </w:r>
            <w:r w:rsidRPr="000567DE">
              <w:rPr>
                <w:rStyle w:val="Hyperlink"/>
                <w:rFonts w:ascii="Arial" w:hAnsi="Arial" w:cs="Arial"/>
                <w:b/>
                <w:bCs/>
                <w:color w:val="524B48"/>
                <w:sz w:val="32"/>
                <w:szCs w:val="32"/>
                <w:u w:val="none"/>
              </w:rPr>
              <w:t xml:space="preserve"> Judicial Review</w:t>
            </w:r>
            <w:r>
              <w:rPr>
                <w:rStyle w:val="Hyperlink"/>
                <w:rFonts w:ascii="Arial" w:hAnsi="Arial" w:cs="Arial"/>
                <w:b/>
                <w:bCs/>
                <w:color w:val="524B48"/>
                <w:sz w:val="32"/>
                <w:szCs w:val="32"/>
                <w:u w:val="none"/>
              </w:rPr>
              <w:fldChar w:fldCharType="end"/>
            </w:r>
          </w:p>
          <w:p w14:paraId="50395595" w14:textId="77777777" w:rsidR="000342D0" w:rsidRPr="00731F7F" w:rsidRDefault="000342D0" w:rsidP="00102A81">
            <w:pPr>
              <w:jc w:val="center"/>
              <w:rPr>
                <w:rFonts w:ascii="Arial" w:hAnsi="Arial" w:cs="Arial"/>
                <w:b/>
                <w:bCs/>
                <w:sz w:val="24"/>
                <w:szCs w:val="28"/>
              </w:rPr>
            </w:pPr>
          </w:p>
          <w:p w14:paraId="42951856" w14:textId="77777777" w:rsidR="000342D0" w:rsidRPr="009D67FA" w:rsidRDefault="000342D0" w:rsidP="00102A81">
            <w:pPr>
              <w:jc w:val="center"/>
              <w:rPr>
                <w:rFonts w:ascii="Arial" w:hAnsi="Arial" w:cs="Arial"/>
                <w:i/>
                <w:color w:val="6C6361"/>
                <w:sz w:val="24"/>
                <w:szCs w:val="24"/>
              </w:rPr>
            </w:pPr>
            <w:r w:rsidRPr="009D67FA">
              <w:rPr>
                <w:rFonts w:ascii="Arial" w:hAnsi="Arial" w:cs="Arial"/>
                <w:i/>
                <w:color w:val="6C6361"/>
                <w:sz w:val="24"/>
                <w:szCs w:val="24"/>
              </w:rPr>
              <w:t>by</w:t>
            </w:r>
          </w:p>
          <w:p w14:paraId="6CD36199" w14:textId="77777777" w:rsidR="000342D0" w:rsidRDefault="000342D0" w:rsidP="00102A81">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14:paraId="045419EE" w14:textId="77777777" w:rsidR="000342D0" w:rsidRDefault="000342D0" w:rsidP="00102A81">
            <w:pPr>
              <w:jc w:val="center"/>
              <w:rPr>
                <w:rFonts w:ascii="Arial" w:hAnsi="Arial" w:cs="Arial"/>
                <w:color w:val="6C6361"/>
                <w:sz w:val="24"/>
                <w:szCs w:val="24"/>
              </w:rPr>
            </w:pPr>
            <w:r w:rsidRPr="00E61CEF">
              <w:rPr>
                <w:rFonts w:ascii="Arial" w:hAnsi="Arial" w:cs="Arial"/>
                <w:color w:val="6C6361"/>
                <w:sz w:val="24"/>
                <w:szCs w:val="24"/>
              </w:rPr>
              <w:t>Associate Professor,</w:t>
            </w:r>
          </w:p>
          <w:p w14:paraId="29736FF1" w14:textId="77777777" w:rsidR="000342D0" w:rsidRDefault="000342D0" w:rsidP="00102A81">
            <w:pPr>
              <w:jc w:val="center"/>
              <w:rPr>
                <w:rFonts w:ascii="Arial" w:hAnsi="Arial" w:cs="Arial"/>
                <w:color w:val="6C6361"/>
                <w:sz w:val="24"/>
                <w:szCs w:val="24"/>
              </w:rPr>
            </w:pPr>
            <w:r w:rsidRPr="00E61CEF">
              <w:rPr>
                <w:rFonts w:ascii="Arial" w:hAnsi="Arial" w:cs="Arial"/>
                <w:color w:val="6C6361"/>
                <w:sz w:val="24"/>
                <w:szCs w:val="24"/>
              </w:rPr>
              <w:t>ANU College of Law,</w:t>
            </w:r>
          </w:p>
          <w:p w14:paraId="4C9A3808" w14:textId="77777777" w:rsidR="000342D0" w:rsidRPr="008259A9" w:rsidRDefault="000342D0" w:rsidP="00102A81">
            <w:pPr>
              <w:jc w:val="center"/>
              <w:rPr>
                <w:rFonts w:ascii="Arial" w:hAnsi="Arial" w:cs="Arial"/>
                <w:color w:val="6C6361"/>
                <w:sz w:val="4"/>
                <w:szCs w:val="4"/>
              </w:rPr>
            </w:pPr>
            <w:r w:rsidRPr="00E61CEF">
              <w:rPr>
                <w:rFonts w:ascii="Arial" w:hAnsi="Arial" w:cs="Arial"/>
                <w:color w:val="6C6361"/>
                <w:sz w:val="24"/>
                <w:szCs w:val="24"/>
              </w:rPr>
              <w:t>The Australian National University</w:t>
            </w:r>
            <w:r w:rsidRPr="008259A9">
              <w:rPr>
                <w:rFonts w:ascii="Arial" w:hAnsi="Arial" w:cs="Arial"/>
                <w:color w:val="6C6361"/>
                <w:sz w:val="4"/>
                <w:szCs w:val="4"/>
              </w:rPr>
              <w:t xml:space="preserve"> </w:t>
            </w:r>
          </w:p>
        </w:tc>
        <w:tc>
          <w:tcPr>
            <w:tcW w:w="5954" w:type="dxa"/>
            <w:shd w:val="clear" w:color="auto" w:fill="FFFFFF"/>
            <w:vAlign w:val="center"/>
          </w:tcPr>
          <w:p w14:paraId="53646FAF" w14:textId="77777777" w:rsidR="000342D0" w:rsidRPr="00D50772" w:rsidRDefault="000342D0" w:rsidP="00102A81">
            <w:pPr>
              <w:spacing w:line="276" w:lineRule="auto"/>
              <w:rPr>
                <w:rFonts w:ascii="Arial" w:eastAsia="Times New Roman" w:hAnsi="Arial" w:cs="Arial"/>
                <w:noProof/>
                <w:sz w:val="20"/>
                <w:szCs w:val="20"/>
              </w:rPr>
            </w:pPr>
            <w:r w:rsidRPr="00CE55A9">
              <w:rPr>
                <w:rFonts w:ascii="Arial" w:eastAsia="Times New Roman" w:hAnsi="Arial" w:cs="Arial"/>
                <w:noProof/>
                <w:sz w:val="20"/>
                <w:szCs w:val="20"/>
              </w:rPr>
              <w:drawing>
                <wp:anchor distT="0" distB="0" distL="114300" distR="114300" simplePos="0" relativeHeight="251659264" behindDoc="0" locked="0" layoutInCell="1" allowOverlap="1" wp14:anchorId="60394B75" wp14:editId="1110A312">
                  <wp:simplePos x="0" y="0"/>
                  <wp:positionH relativeFrom="column">
                    <wp:posOffset>3171825</wp:posOffset>
                  </wp:positionH>
                  <wp:positionV relativeFrom="paragraph">
                    <wp:posOffset>-53975</wp:posOffset>
                  </wp:positionV>
                  <wp:extent cx="539750" cy="539750"/>
                  <wp:effectExtent l="0" t="0" r="6350" b="6350"/>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64C9BAB" wp14:editId="03FCB675">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37B20DE0" w14:textId="77777777" w:rsidR="000342D0" w:rsidRPr="000342D0" w:rsidRDefault="000342D0" w:rsidP="000342D0">
      <w:pPr>
        <w:spacing w:line="276" w:lineRule="auto"/>
        <w:jc w:val="left"/>
        <w:rPr>
          <w:rFonts w:ascii="Arial" w:hAnsi="Arial" w:cs="Arial"/>
          <w:sz w:val="11"/>
          <w:szCs w:val="11"/>
        </w:rPr>
      </w:pPr>
    </w:p>
    <w:tbl>
      <w:tblPr>
        <w:tblW w:w="10773" w:type="dxa"/>
        <w:jc w:val="center"/>
        <w:tblLook w:val="04A0" w:firstRow="1" w:lastRow="0" w:firstColumn="1" w:lastColumn="0" w:noHBand="0" w:noVBand="1"/>
      </w:tblPr>
      <w:tblGrid>
        <w:gridCol w:w="1985"/>
        <w:gridCol w:w="8788"/>
      </w:tblGrid>
      <w:tr w:rsidR="000342D0" w:rsidRPr="00EE3A30" w14:paraId="0E6DA62C" w14:textId="77777777" w:rsidTr="00102A81">
        <w:trPr>
          <w:trHeight w:val="2668"/>
          <w:jc w:val="center"/>
        </w:trPr>
        <w:tc>
          <w:tcPr>
            <w:tcW w:w="1985" w:type="dxa"/>
            <w:shd w:val="clear" w:color="auto" w:fill="FFFFFF"/>
            <w:vAlign w:val="center"/>
          </w:tcPr>
          <w:p w14:paraId="44CB28EF" w14:textId="77777777" w:rsidR="000342D0" w:rsidRPr="00EE3A30" w:rsidRDefault="000342D0" w:rsidP="00102A81">
            <w:pPr>
              <w:spacing w:line="276" w:lineRule="auto"/>
              <w:jc w:val="center"/>
              <w:rPr>
                <w:rFonts w:ascii="Arial" w:hAnsi="Arial" w:cs="Arial"/>
              </w:rPr>
            </w:pPr>
            <w:r w:rsidRPr="00EE3A30">
              <w:rPr>
                <w:rFonts w:ascii="Arial" w:hAnsi="Arial" w:cs="Arial"/>
                <w:noProof/>
              </w:rPr>
              <w:drawing>
                <wp:inline distT="0" distB="0" distL="0" distR="0" wp14:anchorId="10F056FC" wp14:editId="6F45C907">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0EE3B81" w14:textId="77777777" w:rsidR="000342D0" w:rsidRPr="0074148E" w:rsidRDefault="000342D0" w:rsidP="00102A81">
            <w:pPr>
              <w:spacing w:line="276" w:lineRule="auto"/>
              <w:rPr>
                <w:rFonts w:ascii="Arial" w:hAnsi="Arial" w:cs="Arial"/>
                <w:sz w:val="20"/>
                <w:szCs w:val="20"/>
              </w:rPr>
            </w:pPr>
            <w:r w:rsidRPr="0074148E">
              <w:rPr>
                <w:rFonts w:ascii="Arial" w:hAnsi="Arial" w:cs="Arial"/>
                <w:color w:val="6C6361"/>
                <w:sz w:val="20"/>
                <w:szCs w:val="20"/>
              </w:rPr>
              <w:t>Dr. Stephen Thomson is an Associate Professor at the ANU College of Law, The Australian National University.  He previously worked in Hong Kong for a number of years at The Chinese University of Hong Kong and City University of Hong Kong.  Dr. Thomson is the author of the leading text 'Administrative Law in Hong Kong' (Cambridge University Press, 2018), a Legal Adviser to the Ombudsman of Hong Kong, a member of the Constitutional Affairs and Human Rights Committee of the Law Society of Hong Kong, and an examiner on the Overseas Lawyers Qualification Examination.  He is also the General Editor of the Federal Law Review and was a Herbert Smith Freehills Visitor at the University of Cambridge.  His work has been used by courts, government and legislatures in Hong Kong, the UK and the US.  Dr. Thomson holds a PhD in constitutional and administrative law from the University of Edinburgh.</w:t>
            </w:r>
          </w:p>
        </w:tc>
      </w:tr>
    </w:tbl>
    <w:p w14:paraId="1F8CA573" w14:textId="77777777" w:rsidR="000342D0" w:rsidRPr="000342D0" w:rsidRDefault="000342D0" w:rsidP="000342D0">
      <w:pPr>
        <w:spacing w:line="276" w:lineRule="auto"/>
        <w:rPr>
          <w:rFonts w:ascii="Arial" w:hAnsi="Arial" w:cs="Arial"/>
          <w:sz w:val="11"/>
          <w:szCs w:val="11"/>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0342D0" w:rsidRPr="0074148E" w14:paraId="12258CF2" w14:textId="77777777" w:rsidTr="00102A81">
        <w:trPr>
          <w:trHeight w:val="2844"/>
          <w:jc w:val="center"/>
        </w:trPr>
        <w:tc>
          <w:tcPr>
            <w:tcW w:w="10773" w:type="dxa"/>
            <w:gridSpan w:val="2"/>
            <w:tcBorders>
              <w:top w:val="nil"/>
              <w:bottom w:val="nil"/>
            </w:tcBorders>
            <w:shd w:val="clear" w:color="auto" w:fill="FFFFFF" w:themeFill="background1"/>
            <w:vAlign w:val="center"/>
          </w:tcPr>
          <w:p w14:paraId="71B400D8" w14:textId="77777777" w:rsidR="000342D0" w:rsidRPr="0074148E" w:rsidRDefault="000342D0" w:rsidP="00102A81">
            <w:pPr>
              <w:spacing w:line="276" w:lineRule="auto"/>
              <w:rPr>
                <w:rFonts w:ascii="Arial" w:hAnsi="Arial" w:cs="Arial"/>
                <w:color w:val="6C6361"/>
                <w:sz w:val="20"/>
                <w:szCs w:val="20"/>
              </w:rPr>
            </w:pPr>
            <w:r w:rsidRPr="0074148E">
              <w:rPr>
                <w:rFonts w:ascii="Arial" w:hAnsi="Arial" w:cs="Arial"/>
                <w:color w:val="6C6361"/>
                <w:sz w:val="20"/>
                <w:szCs w:val="20"/>
              </w:rPr>
              <w:t xml:space="preserve">Procedural fairness is an increasingly important ground of judicial review.  From </w:t>
            </w:r>
            <w:proofErr w:type="spellStart"/>
            <w:r w:rsidRPr="0074148E">
              <w:rPr>
                <w:rFonts w:ascii="Arial" w:hAnsi="Arial" w:cs="Arial"/>
                <w:color w:val="6C6361"/>
                <w:sz w:val="20"/>
                <w:szCs w:val="20"/>
              </w:rPr>
              <w:t>licence</w:t>
            </w:r>
            <w:proofErr w:type="spellEnd"/>
            <w:r w:rsidRPr="0074148E">
              <w:rPr>
                <w:rFonts w:ascii="Arial" w:hAnsi="Arial" w:cs="Arial"/>
                <w:color w:val="6C6361"/>
                <w:sz w:val="20"/>
                <w:szCs w:val="20"/>
              </w:rPr>
              <w:t xml:space="preserve"> application procedures to regulatory decisions, immigration refusals to disciplinary decisions, there are many opportunities for public decision-makers to go wrong procedurally.  The law applies strict standards of procedural fairness which must be observed by public decision-makers.  A sound understanding of this important ground of judicial review is necessary, both for government and public decision-makers to keep themselves right, and applicants who may seek to enforce this ground in judicial review.</w:t>
            </w:r>
          </w:p>
          <w:p w14:paraId="21915708" w14:textId="77777777" w:rsidR="000342D0" w:rsidRPr="0074148E" w:rsidRDefault="000342D0" w:rsidP="00102A81">
            <w:pPr>
              <w:spacing w:line="276" w:lineRule="auto"/>
              <w:rPr>
                <w:rFonts w:ascii="Arial" w:hAnsi="Arial" w:cs="Arial"/>
                <w:color w:val="6C6361"/>
                <w:sz w:val="10"/>
                <w:szCs w:val="10"/>
              </w:rPr>
            </w:pPr>
          </w:p>
          <w:p w14:paraId="5FC48B6C" w14:textId="77777777" w:rsidR="000342D0" w:rsidRPr="0074148E" w:rsidRDefault="000342D0" w:rsidP="00102A81">
            <w:pPr>
              <w:spacing w:line="276" w:lineRule="auto"/>
              <w:rPr>
                <w:rFonts w:ascii="Arial" w:hAnsi="Arial" w:cs="Arial"/>
                <w:color w:val="6C6361"/>
                <w:sz w:val="20"/>
                <w:szCs w:val="20"/>
              </w:rPr>
            </w:pPr>
            <w:r w:rsidRPr="0074148E">
              <w:rPr>
                <w:rFonts w:ascii="Arial" w:hAnsi="Arial" w:cs="Arial"/>
                <w:color w:val="6C6361"/>
                <w:sz w:val="20"/>
                <w:szCs w:val="20"/>
              </w:rPr>
              <w:t>This seminar will take participants through the main aspects of the law on procedural fairness, including the right to be heard, the right to be represented, the duty to give reasons for a decision, and bias/partiality.  Real cases will be used to explain and illustrate the main points and your seminar leader will be delighted to answer your questions on the day.  The session will be useful for solicitors in both the public and private sectors; and to those who both seek to launch a judicial review application or who may find themselves on the receiving end of one.  Come along and learn from this interactive seminar.  All welcome!</w:t>
            </w:r>
          </w:p>
        </w:tc>
      </w:tr>
      <w:tr w:rsidR="000342D0" w:rsidRPr="0074148E" w14:paraId="65411926" w14:textId="77777777" w:rsidTr="00102A81">
        <w:trPr>
          <w:trHeight w:val="340"/>
          <w:jc w:val="center"/>
        </w:trPr>
        <w:tc>
          <w:tcPr>
            <w:tcW w:w="9072" w:type="dxa"/>
            <w:tcBorders>
              <w:top w:val="nil"/>
              <w:bottom w:val="nil"/>
              <w:right w:val="nil"/>
            </w:tcBorders>
            <w:shd w:val="clear" w:color="auto" w:fill="F0EBE1"/>
            <w:vAlign w:val="center"/>
          </w:tcPr>
          <w:p w14:paraId="459CEA2B" w14:textId="77777777" w:rsidR="000342D0" w:rsidRPr="0074148E" w:rsidRDefault="000342D0" w:rsidP="00102A81">
            <w:pPr>
              <w:jc w:val="left"/>
              <w:rPr>
                <w:rFonts w:ascii="Arial" w:hAnsi="Arial" w:cs="Arial"/>
                <w:b/>
                <w:color w:val="524B48"/>
                <w:sz w:val="20"/>
                <w:szCs w:val="20"/>
              </w:rPr>
            </w:pPr>
            <w:r w:rsidRPr="0074148E">
              <w:rPr>
                <w:rFonts w:ascii="Arial" w:hAnsi="Arial" w:cs="Arial"/>
                <w:b/>
                <w:color w:val="524B48"/>
                <w:sz w:val="20"/>
                <w:szCs w:val="20"/>
              </w:rPr>
              <w:t>Key points covered:</w:t>
            </w:r>
          </w:p>
        </w:tc>
        <w:tc>
          <w:tcPr>
            <w:tcW w:w="1701" w:type="dxa"/>
            <w:vMerge w:val="restart"/>
            <w:tcBorders>
              <w:top w:val="nil"/>
              <w:left w:val="nil"/>
              <w:bottom w:val="nil"/>
              <w:right w:val="nil"/>
            </w:tcBorders>
            <w:shd w:val="clear" w:color="auto" w:fill="FFFFFF" w:themeFill="background1"/>
            <w:vAlign w:val="center"/>
          </w:tcPr>
          <w:p w14:paraId="2FD04DB0" w14:textId="77777777" w:rsidR="000342D0" w:rsidRPr="0074148E" w:rsidRDefault="000342D0" w:rsidP="00102A81">
            <w:pPr>
              <w:jc w:val="center"/>
              <w:rPr>
                <w:rFonts w:ascii="Arial" w:hAnsi="Arial" w:cs="Arial"/>
                <w:b/>
                <w:color w:val="524B48"/>
                <w:sz w:val="20"/>
                <w:szCs w:val="20"/>
              </w:rPr>
            </w:pPr>
            <w:r w:rsidRPr="0074148E">
              <w:rPr>
                <w:rFonts w:ascii="Arial" w:hAnsi="Arial" w:cs="Arial"/>
                <w:noProof/>
                <w:color w:val="6C6361"/>
                <w:sz w:val="20"/>
                <w:szCs w:val="20"/>
              </w:rPr>
              <w:drawing>
                <wp:inline distT="0" distB="0" distL="0" distR="0" wp14:anchorId="633DF652" wp14:editId="5B1F8D77">
                  <wp:extent cx="892800" cy="1021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1690"/>
                          </a:xfrm>
                          <a:prstGeom prst="rect">
                            <a:avLst/>
                          </a:prstGeom>
                          <a:noFill/>
                          <a:ln>
                            <a:noFill/>
                          </a:ln>
                        </pic:spPr>
                      </pic:pic>
                    </a:graphicData>
                  </a:graphic>
                </wp:inline>
              </w:drawing>
            </w:r>
          </w:p>
        </w:tc>
      </w:tr>
      <w:tr w:rsidR="000342D0" w:rsidRPr="0074148E" w14:paraId="491C5D6F" w14:textId="77777777" w:rsidTr="00102A81">
        <w:trPr>
          <w:trHeight w:val="1643"/>
          <w:jc w:val="center"/>
        </w:trPr>
        <w:tc>
          <w:tcPr>
            <w:tcW w:w="9072" w:type="dxa"/>
            <w:tcBorders>
              <w:top w:val="nil"/>
              <w:bottom w:val="nil"/>
            </w:tcBorders>
            <w:shd w:val="clear" w:color="auto" w:fill="FFFFFF"/>
            <w:vAlign w:val="center"/>
          </w:tcPr>
          <w:p w14:paraId="0D6EBA33" w14:textId="77777777" w:rsidR="000342D0" w:rsidRPr="0074148E" w:rsidRDefault="000342D0" w:rsidP="00102A81">
            <w:pPr>
              <w:pStyle w:val="ListParagraph"/>
              <w:numPr>
                <w:ilvl w:val="0"/>
                <w:numId w:val="2"/>
              </w:numPr>
              <w:rPr>
                <w:rFonts w:ascii="Arial" w:hAnsi="Arial" w:cs="Arial"/>
                <w:color w:val="6C6361"/>
                <w:sz w:val="20"/>
                <w:szCs w:val="20"/>
              </w:rPr>
            </w:pPr>
            <w:r w:rsidRPr="0074148E">
              <w:rPr>
                <w:rFonts w:ascii="Arial" w:hAnsi="Arial" w:cs="Arial"/>
                <w:color w:val="6C6361"/>
                <w:sz w:val="20"/>
                <w:szCs w:val="20"/>
              </w:rPr>
              <w:t>Up-to-date coverage of procedural fairness as a ground of judicial review</w:t>
            </w:r>
          </w:p>
          <w:p w14:paraId="6BE9DF83" w14:textId="77777777" w:rsidR="000342D0" w:rsidRPr="0074148E" w:rsidRDefault="000342D0" w:rsidP="00102A81">
            <w:pPr>
              <w:pStyle w:val="ListParagraph"/>
              <w:numPr>
                <w:ilvl w:val="0"/>
                <w:numId w:val="2"/>
              </w:numPr>
              <w:rPr>
                <w:rFonts w:ascii="Arial" w:hAnsi="Arial" w:cs="Arial"/>
                <w:color w:val="6C6361"/>
                <w:sz w:val="20"/>
                <w:szCs w:val="20"/>
              </w:rPr>
            </w:pPr>
            <w:r w:rsidRPr="0074148E">
              <w:rPr>
                <w:rFonts w:ascii="Arial" w:hAnsi="Arial" w:cs="Arial"/>
                <w:color w:val="6C6361"/>
                <w:sz w:val="20"/>
                <w:szCs w:val="20"/>
              </w:rPr>
              <w:t>Explanation of the key aspects of procedural fairness: the right to be heard, the right to be represented, the duty to give reasons for a decision, and bias/partiality</w:t>
            </w:r>
          </w:p>
          <w:p w14:paraId="06308C25" w14:textId="77777777" w:rsidR="000342D0" w:rsidRPr="0074148E" w:rsidRDefault="000342D0" w:rsidP="00102A81">
            <w:pPr>
              <w:pStyle w:val="ListParagraph"/>
              <w:numPr>
                <w:ilvl w:val="0"/>
                <w:numId w:val="2"/>
              </w:numPr>
              <w:rPr>
                <w:rFonts w:ascii="Arial" w:hAnsi="Arial" w:cs="Arial"/>
                <w:color w:val="6C6361"/>
                <w:sz w:val="20"/>
                <w:szCs w:val="20"/>
              </w:rPr>
            </w:pPr>
            <w:r w:rsidRPr="0074148E">
              <w:rPr>
                <w:rFonts w:ascii="Arial" w:hAnsi="Arial" w:cs="Arial"/>
                <w:color w:val="6C6361"/>
                <w:sz w:val="20"/>
                <w:szCs w:val="20"/>
              </w:rPr>
              <w:t>Aimed at applicants and respondents; those working in private practice, and those working in government and the public sector</w:t>
            </w:r>
          </w:p>
          <w:p w14:paraId="0F7D1C1F" w14:textId="77777777" w:rsidR="000342D0" w:rsidRPr="0074148E" w:rsidRDefault="000342D0" w:rsidP="00102A81">
            <w:pPr>
              <w:pStyle w:val="ListParagraph"/>
              <w:numPr>
                <w:ilvl w:val="0"/>
                <w:numId w:val="2"/>
              </w:numPr>
              <w:rPr>
                <w:rFonts w:ascii="Arial" w:hAnsi="Arial" w:cs="Arial"/>
                <w:color w:val="6C6361"/>
                <w:sz w:val="20"/>
                <w:szCs w:val="20"/>
              </w:rPr>
            </w:pPr>
            <w:r w:rsidRPr="0074148E">
              <w:rPr>
                <w:rFonts w:ascii="Arial" w:hAnsi="Arial" w:cs="Arial"/>
                <w:color w:val="6C6361"/>
                <w:sz w:val="20"/>
                <w:szCs w:val="20"/>
              </w:rPr>
              <w:t>Use of real cases to explain and illustrate the main points</w:t>
            </w:r>
          </w:p>
          <w:p w14:paraId="4DAC78F9" w14:textId="77777777" w:rsidR="000342D0" w:rsidRPr="0074148E" w:rsidRDefault="000342D0" w:rsidP="00102A81">
            <w:pPr>
              <w:pStyle w:val="ListParagraph"/>
              <w:numPr>
                <w:ilvl w:val="0"/>
                <w:numId w:val="2"/>
              </w:numPr>
              <w:rPr>
                <w:rFonts w:ascii="Arial" w:hAnsi="Arial" w:cs="Arial"/>
                <w:color w:val="6C6361"/>
                <w:sz w:val="20"/>
                <w:szCs w:val="20"/>
              </w:rPr>
            </w:pPr>
            <w:r w:rsidRPr="0074148E">
              <w:rPr>
                <w:rFonts w:ascii="Arial" w:hAnsi="Arial" w:cs="Arial"/>
                <w:color w:val="6C6361"/>
                <w:sz w:val="20"/>
                <w:szCs w:val="20"/>
              </w:rPr>
              <w:t>Accessible and easy to understand explanations</w:t>
            </w:r>
          </w:p>
        </w:tc>
        <w:tc>
          <w:tcPr>
            <w:tcW w:w="1701" w:type="dxa"/>
            <w:vMerge/>
            <w:tcBorders>
              <w:bottom w:val="nil"/>
              <w:right w:val="nil"/>
            </w:tcBorders>
            <w:shd w:val="clear" w:color="auto" w:fill="FFFFFF" w:themeFill="background1"/>
            <w:vAlign w:val="center"/>
          </w:tcPr>
          <w:p w14:paraId="6CA9CCA2" w14:textId="77777777" w:rsidR="000342D0" w:rsidRPr="0074148E" w:rsidRDefault="000342D0" w:rsidP="00102A81">
            <w:pPr>
              <w:jc w:val="center"/>
              <w:rPr>
                <w:rFonts w:ascii="Arial" w:hAnsi="Arial" w:cs="Arial"/>
                <w:color w:val="6C6361"/>
                <w:sz w:val="20"/>
                <w:szCs w:val="20"/>
              </w:rPr>
            </w:pPr>
          </w:p>
        </w:tc>
      </w:tr>
    </w:tbl>
    <w:p w14:paraId="436F769A" w14:textId="77777777" w:rsidR="000342D0" w:rsidRPr="000342D0" w:rsidRDefault="000342D0" w:rsidP="009371C8">
      <w:pPr>
        <w:tabs>
          <w:tab w:val="left" w:pos="2552"/>
        </w:tabs>
        <w:spacing w:line="276" w:lineRule="auto"/>
        <w:rPr>
          <w:rFonts w:ascii="Arial" w:hAnsi="Arial" w:cs="Arial"/>
          <w:sz w:val="11"/>
          <w:szCs w:val="11"/>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0342D0" w:rsidRPr="00B90951" w14:paraId="2D1C65A1" w14:textId="77777777" w:rsidTr="008C58A4">
        <w:trPr>
          <w:trHeight w:val="340"/>
          <w:jc w:val="center"/>
        </w:trPr>
        <w:tc>
          <w:tcPr>
            <w:tcW w:w="1701" w:type="dxa"/>
            <w:tcBorders>
              <w:top w:val="nil"/>
              <w:left w:val="nil"/>
              <w:bottom w:val="single" w:sz="12" w:space="0" w:color="FFFFFF"/>
            </w:tcBorders>
            <w:shd w:val="clear" w:color="auto" w:fill="F0EBE1"/>
            <w:vAlign w:val="center"/>
          </w:tcPr>
          <w:p w14:paraId="7A7FCD4E" w14:textId="00BCEBE9"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13F43588" w14:textId="6D46DB38"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EVT000000413</w:t>
            </w:r>
          </w:p>
        </w:tc>
        <w:tc>
          <w:tcPr>
            <w:tcW w:w="1701" w:type="dxa"/>
            <w:tcBorders>
              <w:top w:val="nil"/>
              <w:bottom w:val="single" w:sz="12" w:space="0" w:color="FFFFFF"/>
            </w:tcBorders>
            <w:shd w:val="clear" w:color="auto" w:fill="F0EBE1"/>
            <w:vAlign w:val="center"/>
          </w:tcPr>
          <w:p w14:paraId="1AB65031" w14:textId="1FCB16B6"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5F2F1A9A" w14:textId="3B9E425C"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0342D0" w:rsidRPr="00B90951" w14:paraId="112B3EED"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3573A99B" w14:textId="4B0ECF3A"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427B9258" w14:textId="75ACE5E3" w:rsidR="000342D0" w:rsidRPr="00682661"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28 September 2023 (Thursday)</w:t>
            </w:r>
          </w:p>
        </w:tc>
        <w:tc>
          <w:tcPr>
            <w:tcW w:w="1701" w:type="dxa"/>
            <w:tcBorders>
              <w:top w:val="single" w:sz="12" w:space="0" w:color="FFFFFF"/>
              <w:bottom w:val="single" w:sz="12" w:space="0" w:color="FFFFFF"/>
            </w:tcBorders>
            <w:shd w:val="clear" w:color="auto" w:fill="F0EBE1"/>
            <w:vAlign w:val="center"/>
          </w:tcPr>
          <w:p w14:paraId="19A9FF94" w14:textId="59FA1A6C"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9BEA0CA" w14:textId="766263F9"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342D0" w:rsidRPr="00B90951" w14:paraId="54B48431"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4319BFE5" w14:textId="67EEACC7"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74A63910" w14:textId="77777777" w:rsidR="000342D0"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14:paraId="3033BEE7" w14:textId="27E7FE78"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4C2F7DC2" w14:textId="2439DE6A" w:rsidR="000342D0" w:rsidRPr="00320F79"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4F84D26" w14:textId="036911C9" w:rsidR="000342D0" w:rsidRPr="00682661" w:rsidRDefault="000342D0" w:rsidP="0003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8C58A4" w:rsidRPr="00B90951" w14:paraId="7C7C8CC7" w14:textId="77777777" w:rsidTr="008C58A4">
        <w:trPr>
          <w:trHeight w:val="1247"/>
          <w:jc w:val="center"/>
        </w:trPr>
        <w:tc>
          <w:tcPr>
            <w:tcW w:w="1701" w:type="dxa"/>
            <w:tcBorders>
              <w:top w:val="single" w:sz="12" w:space="0" w:color="FFFFFF"/>
              <w:left w:val="nil"/>
              <w:bottom w:val="nil"/>
            </w:tcBorders>
            <w:shd w:val="clear" w:color="auto" w:fill="F0EBE1"/>
            <w:vAlign w:val="center"/>
          </w:tcPr>
          <w:p w14:paraId="2C404064" w14:textId="77777777" w:rsidR="008C58A4" w:rsidRPr="00B9095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07F75D85" w14:textId="5B9C6A8C" w:rsidR="008C58A4" w:rsidRPr="00B90951" w:rsidRDefault="008C58A4" w:rsidP="008C58A4">
            <w:pPr>
              <w:ind w:right="240"/>
              <w:rPr>
                <w:rFonts w:ascii="Arial" w:hAnsi="Arial" w:cs="Arial"/>
                <w:b/>
                <w:color w:val="6C6361"/>
                <w:sz w:val="12"/>
                <w:szCs w:val="12"/>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14:paraId="37CB6A1E"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B2E096"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165E8C3F"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443717BD"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1096991C"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5318D1AB" wp14:editId="7A3067C8">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2EFA2CCD" w14:textId="4E9572E3" w:rsidR="008C58A4" w:rsidRPr="008C58A4" w:rsidRDefault="008C58A4" w:rsidP="00EC01C3">
      <w:pPr>
        <w:spacing w:line="276" w:lineRule="auto"/>
        <w:jc w:val="left"/>
        <w:rPr>
          <w:rFonts w:ascii="Arial" w:hAnsi="Arial" w:cs="Arial"/>
          <w:sz w:val="2"/>
          <w:szCs w:val="2"/>
        </w:rPr>
      </w:pPr>
    </w:p>
    <w:sectPr w:rsidR="008C58A4" w:rsidRPr="008C58A4"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5994A" w14:textId="77777777" w:rsidR="002E2BEF" w:rsidRDefault="002E2BEF" w:rsidP="00546556">
      <w:r>
        <w:separator/>
      </w:r>
    </w:p>
  </w:endnote>
  <w:endnote w:type="continuationSeparator" w:id="0">
    <w:p w14:paraId="18C61B1B" w14:textId="77777777" w:rsidR="002E2BEF" w:rsidRDefault="002E2BE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FE4C"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3C31E833" w14:textId="77777777" w:rsidTr="00A775CE">
      <w:trPr>
        <w:trHeight w:val="1824"/>
        <w:jc w:val="center"/>
      </w:trPr>
      <w:tc>
        <w:tcPr>
          <w:tcW w:w="5954" w:type="dxa"/>
          <w:vAlign w:val="bottom"/>
        </w:tcPr>
        <w:p w14:paraId="68F3834C"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CF0D060" wp14:editId="5D76B75C">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100F02C" w14:textId="77777777" w:rsidR="00197F64" w:rsidRPr="00EA2D57" w:rsidRDefault="00197F64" w:rsidP="00197F64">
          <w:pPr>
            <w:ind w:right="33"/>
            <w:jc w:val="center"/>
            <w:rPr>
              <w:rFonts w:ascii="Arial" w:hAnsi="Arial" w:cs="Arial"/>
              <w:color w:val="E4DCCA"/>
              <w:sz w:val="16"/>
              <w:szCs w:val="16"/>
            </w:rPr>
          </w:pPr>
        </w:p>
        <w:p w14:paraId="7C0AA198"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EE64DB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244024F2"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4BD62BFC"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E651F03" wp14:editId="786380B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726234B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C8E40D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859DCC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A76CCD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A9DA0E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61A5CE28"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B3D3B" w14:textId="77777777" w:rsidR="002E2BEF" w:rsidRDefault="002E2BEF" w:rsidP="00546556">
      <w:r>
        <w:separator/>
      </w:r>
    </w:p>
  </w:footnote>
  <w:footnote w:type="continuationSeparator" w:id="0">
    <w:p w14:paraId="5CE08D75" w14:textId="77777777" w:rsidR="002E2BEF" w:rsidRDefault="002E2BEF"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B7B6" w14:textId="77777777" w:rsidR="002C4DC0" w:rsidRDefault="00F0384F">
    <w:pPr>
      <w:pStyle w:val="Header"/>
    </w:pPr>
    <w:r>
      <w:rPr>
        <w:noProof/>
      </w:rPr>
      <w:drawing>
        <wp:anchor distT="0" distB="0" distL="114300" distR="114300" simplePos="0" relativeHeight="251659264" behindDoc="1" locked="0" layoutInCell="1" allowOverlap="1" wp14:anchorId="7FDE2085" wp14:editId="079291D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BB9795B"/>
    <w:multiLevelType w:val="hybridMultilevel"/>
    <w:tmpl w:val="DAFEF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a29Wrzh+V9xeatE5s2cPhohEl/5osJrlS1nbby59D2/pFuXWaMInUFIRRcdVvDS8QobxkHik7ZF6P3I/LrQKtA==" w:salt="deJNMWVkmraSj98uND09/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967"/>
    <w:rsid w:val="00020A8D"/>
    <w:rsid w:val="00021000"/>
    <w:rsid w:val="00021FE4"/>
    <w:rsid w:val="00027401"/>
    <w:rsid w:val="00027969"/>
    <w:rsid w:val="00027CA2"/>
    <w:rsid w:val="0003046E"/>
    <w:rsid w:val="0003061F"/>
    <w:rsid w:val="00030E06"/>
    <w:rsid w:val="0003227C"/>
    <w:rsid w:val="0003289F"/>
    <w:rsid w:val="000342D0"/>
    <w:rsid w:val="00034C62"/>
    <w:rsid w:val="00035408"/>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2F8A"/>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7FD"/>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9ED"/>
    <w:rsid w:val="002E0B98"/>
    <w:rsid w:val="002E191B"/>
    <w:rsid w:val="002E2980"/>
    <w:rsid w:val="002E2997"/>
    <w:rsid w:val="002E2BEF"/>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54A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1182"/>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58A4"/>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1C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772B4"/>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3C3C"/>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EAC"/>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599C"/>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0FD5"/>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19C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68BD"/>
    <w:rsid w:val="00DD71BB"/>
    <w:rsid w:val="00DD74D4"/>
    <w:rsid w:val="00DE0DE4"/>
    <w:rsid w:val="00DE1BD3"/>
    <w:rsid w:val="00DE2AB7"/>
    <w:rsid w:val="00DE2D14"/>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F4D02"/>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8C58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413/"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8403B-BF5E-4221-A98D-EA39EF87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Hong Kong Constitutional Law Refresher</vt:lpstr>
    </vt:vector>
  </TitlesOfParts>
  <Manager>Tyrone Tsang</Manager>
  <Company>The Profectional Company Limited</Company>
  <LinksUpToDate>false</LinksUpToDate>
  <CharactersWithSpaces>3214</CharactersWithSpaces>
  <SharedDoc>false</SharedDoc>
  <HyperlinkBase>http://download.profectional.com/events/EVT000000413.docx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Procedural Fairness as a Ground of Judicial Review</dc:title>
  <dc:subject>CPD Course: Procedural Fairness as a Ground of Judicial Review</dc:subject>
  <dc:creator>The Profectional Company Limited</dc:creator>
  <cp:keywords>Profectional; Kornerstone; CPD; CPT; CLE; CE; RME; Stephen Thomson; Associate Professor; ANU College of Law; The Australian National University</cp:keywords>
  <dc:description/>
  <cp:lastModifiedBy>Tyrone Tsang</cp:lastModifiedBy>
  <cp:revision>69</cp:revision>
  <cp:lastPrinted>2023-10-02T09:47:00Z</cp:lastPrinted>
  <dcterms:created xsi:type="dcterms:W3CDTF">2015-08-21T08:33:00Z</dcterms:created>
  <dcterms:modified xsi:type="dcterms:W3CDTF">2023-10-02T09:47:00Z</dcterms:modified>
  <cp:category/>
</cp:coreProperties>
</file>