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E19BC" w14:textId="77777777" w:rsidR="00A65ED4" w:rsidRPr="00A65ED4" w:rsidRDefault="00A65ED4" w:rsidP="00A65ED4">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A65ED4" w:rsidRPr="00523A64" w14:paraId="51B0A6C3" w14:textId="77777777" w:rsidTr="00B36CE0">
        <w:trPr>
          <w:trHeight w:val="3119"/>
          <w:jc w:val="center"/>
        </w:trPr>
        <w:tc>
          <w:tcPr>
            <w:tcW w:w="4820" w:type="dxa"/>
            <w:shd w:val="clear" w:color="auto" w:fill="FFFFFF"/>
            <w:vAlign w:val="center"/>
          </w:tcPr>
          <w:p w14:paraId="04BE2375" w14:textId="77777777" w:rsidR="00A65ED4" w:rsidRPr="008259A9" w:rsidRDefault="00A65ED4" w:rsidP="00B36CE0">
            <w:pPr>
              <w:jc w:val="center"/>
              <w:rPr>
                <w:rFonts w:ascii="Arial" w:hAnsi="Arial" w:cs="Arial"/>
                <w:b/>
                <w:bCs/>
                <w:color w:val="524B48"/>
                <w:sz w:val="4"/>
                <w:szCs w:val="4"/>
              </w:rPr>
            </w:pPr>
          </w:p>
          <w:p w14:paraId="0D62F109" w14:textId="77777777" w:rsidR="00A65ED4" w:rsidRDefault="00A65ED4" w:rsidP="00B36CE0">
            <w:pPr>
              <w:jc w:val="center"/>
              <w:rPr>
                <w:rStyle w:val="Hyperlink"/>
                <w:rFonts w:ascii="Arial" w:hAnsi="Arial" w:cs="Arial"/>
                <w:b/>
                <w:bCs/>
                <w:color w:val="524B48"/>
                <w:sz w:val="32"/>
                <w:szCs w:val="32"/>
                <w:u w:val="none"/>
              </w:rPr>
            </w:pPr>
            <w:r>
              <w:fldChar w:fldCharType="begin"/>
            </w:r>
            <w:r>
              <w:instrText>HYPERLINK "http://cpd.hk/evt000000414/"</w:instrText>
            </w:r>
            <w:r>
              <w:fldChar w:fldCharType="separate"/>
            </w:r>
            <w:r>
              <w:rPr>
                <w:rStyle w:val="Hyperlink"/>
                <w:rFonts w:ascii="Arial" w:hAnsi="Arial" w:cs="Arial"/>
                <w:b/>
                <w:bCs/>
                <w:color w:val="524B48"/>
                <w:sz w:val="32"/>
                <w:szCs w:val="32"/>
                <w:u w:val="none"/>
              </w:rPr>
              <w:t>Judicial Review</w:t>
            </w:r>
          </w:p>
          <w:p w14:paraId="27C59C38" w14:textId="77777777" w:rsidR="00A65ED4" w:rsidRPr="00032DE4" w:rsidRDefault="00A65ED4" w:rsidP="00B36CE0">
            <w:pPr>
              <w:jc w:val="center"/>
              <w:rPr>
                <w:rFonts w:ascii="Arial" w:hAnsi="Arial" w:cs="Arial"/>
                <w:b/>
                <w:bCs/>
                <w:color w:val="524B48"/>
                <w:sz w:val="32"/>
                <w:szCs w:val="32"/>
              </w:rPr>
            </w:pPr>
            <w:r>
              <w:rPr>
                <w:rStyle w:val="Hyperlink"/>
                <w:rFonts w:ascii="Arial" w:hAnsi="Arial" w:cs="Arial"/>
                <w:b/>
                <w:bCs/>
                <w:color w:val="524B48"/>
                <w:sz w:val="32"/>
                <w:szCs w:val="32"/>
                <w:u w:val="none"/>
              </w:rPr>
              <w:t>in a Nutshell</w:t>
            </w:r>
            <w:r>
              <w:rPr>
                <w:rStyle w:val="Hyperlink"/>
                <w:rFonts w:ascii="Arial" w:hAnsi="Arial" w:cs="Arial"/>
                <w:b/>
                <w:bCs/>
                <w:color w:val="524B48"/>
                <w:sz w:val="32"/>
                <w:szCs w:val="32"/>
                <w:u w:val="none"/>
              </w:rPr>
              <w:fldChar w:fldCharType="end"/>
            </w:r>
          </w:p>
          <w:p w14:paraId="6306E1CA" w14:textId="77777777" w:rsidR="00A65ED4" w:rsidRPr="00731F7F" w:rsidRDefault="00A65ED4" w:rsidP="00B36CE0">
            <w:pPr>
              <w:jc w:val="center"/>
              <w:rPr>
                <w:rFonts w:ascii="Arial" w:hAnsi="Arial" w:cs="Arial"/>
                <w:b/>
                <w:bCs/>
                <w:sz w:val="24"/>
                <w:szCs w:val="28"/>
              </w:rPr>
            </w:pPr>
          </w:p>
          <w:p w14:paraId="1A10ED3C" w14:textId="77777777" w:rsidR="00A65ED4" w:rsidRPr="009D67FA" w:rsidRDefault="00A65ED4" w:rsidP="00B36CE0">
            <w:pPr>
              <w:jc w:val="center"/>
              <w:rPr>
                <w:rFonts w:ascii="Arial" w:hAnsi="Arial" w:cs="Arial"/>
                <w:i/>
                <w:color w:val="6C6361"/>
                <w:sz w:val="24"/>
                <w:szCs w:val="24"/>
              </w:rPr>
            </w:pPr>
            <w:r w:rsidRPr="009D67FA">
              <w:rPr>
                <w:rFonts w:ascii="Arial" w:hAnsi="Arial" w:cs="Arial"/>
                <w:i/>
                <w:color w:val="6C6361"/>
                <w:sz w:val="24"/>
                <w:szCs w:val="24"/>
              </w:rPr>
              <w:t>by</w:t>
            </w:r>
          </w:p>
          <w:p w14:paraId="1669CB06" w14:textId="77777777" w:rsidR="00A65ED4" w:rsidRDefault="00A65ED4" w:rsidP="00B36CE0">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14:paraId="739E6FCE" w14:textId="77777777" w:rsidR="00A65ED4" w:rsidRDefault="00A65ED4" w:rsidP="00B36CE0">
            <w:pPr>
              <w:jc w:val="center"/>
              <w:rPr>
                <w:rFonts w:ascii="Arial" w:hAnsi="Arial" w:cs="Arial"/>
                <w:color w:val="6C6361"/>
                <w:sz w:val="24"/>
                <w:szCs w:val="24"/>
              </w:rPr>
            </w:pPr>
            <w:r w:rsidRPr="00E61CEF">
              <w:rPr>
                <w:rFonts w:ascii="Arial" w:hAnsi="Arial" w:cs="Arial"/>
                <w:color w:val="6C6361"/>
                <w:sz w:val="24"/>
                <w:szCs w:val="24"/>
              </w:rPr>
              <w:t>Associate Professor,</w:t>
            </w:r>
          </w:p>
          <w:p w14:paraId="20342EBE" w14:textId="77777777" w:rsidR="00A65ED4" w:rsidRDefault="00A65ED4" w:rsidP="00B36CE0">
            <w:pPr>
              <w:jc w:val="center"/>
              <w:rPr>
                <w:rFonts w:ascii="Arial" w:hAnsi="Arial" w:cs="Arial"/>
                <w:color w:val="6C6361"/>
                <w:sz w:val="24"/>
                <w:szCs w:val="24"/>
              </w:rPr>
            </w:pPr>
            <w:r w:rsidRPr="00E61CEF">
              <w:rPr>
                <w:rFonts w:ascii="Arial" w:hAnsi="Arial" w:cs="Arial"/>
                <w:color w:val="6C6361"/>
                <w:sz w:val="24"/>
                <w:szCs w:val="24"/>
              </w:rPr>
              <w:t>ANU College of Law,</w:t>
            </w:r>
          </w:p>
          <w:p w14:paraId="0CF20113" w14:textId="77777777" w:rsidR="00A65ED4" w:rsidRPr="008259A9" w:rsidRDefault="00A65ED4" w:rsidP="00B36CE0">
            <w:pPr>
              <w:jc w:val="center"/>
              <w:rPr>
                <w:rFonts w:ascii="Arial" w:hAnsi="Arial" w:cs="Arial"/>
                <w:color w:val="6C6361"/>
                <w:sz w:val="4"/>
                <w:szCs w:val="4"/>
              </w:rPr>
            </w:pPr>
            <w:r w:rsidRPr="00E61CEF">
              <w:rPr>
                <w:rFonts w:ascii="Arial" w:hAnsi="Arial" w:cs="Arial"/>
                <w:color w:val="6C6361"/>
                <w:sz w:val="24"/>
                <w:szCs w:val="24"/>
              </w:rPr>
              <w:t>The Australian National University</w:t>
            </w:r>
          </w:p>
        </w:tc>
        <w:tc>
          <w:tcPr>
            <w:tcW w:w="5954" w:type="dxa"/>
            <w:shd w:val="clear" w:color="auto" w:fill="FFFFFF"/>
            <w:vAlign w:val="center"/>
          </w:tcPr>
          <w:p w14:paraId="3B1FE568" w14:textId="77777777" w:rsidR="00A65ED4" w:rsidRPr="00D50772" w:rsidRDefault="00A65ED4" w:rsidP="00B36CE0">
            <w:pPr>
              <w:spacing w:line="276" w:lineRule="auto"/>
              <w:rPr>
                <w:rFonts w:ascii="Arial" w:eastAsia="Times New Roman" w:hAnsi="Arial" w:cs="Arial"/>
                <w:noProof/>
                <w:sz w:val="20"/>
                <w:szCs w:val="20"/>
              </w:rPr>
            </w:pPr>
            <w:r w:rsidRPr="00A464CE">
              <w:rPr>
                <w:rFonts w:ascii="Arial" w:eastAsia="Times New Roman" w:hAnsi="Arial" w:cs="Arial"/>
                <w:noProof/>
                <w:sz w:val="20"/>
                <w:szCs w:val="20"/>
              </w:rPr>
              <w:drawing>
                <wp:anchor distT="0" distB="0" distL="114300" distR="114300" simplePos="0" relativeHeight="251659264" behindDoc="0" locked="0" layoutInCell="1" allowOverlap="1" wp14:anchorId="007F5110" wp14:editId="2F557E0C">
                  <wp:simplePos x="0" y="0"/>
                  <wp:positionH relativeFrom="column">
                    <wp:posOffset>3157855</wp:posOffset>
                  </wp:positionH>
                  <wp:positionV relativeFrom="paragraph">
                    <wp:posOffset>-55880</wp:posOffset>
                  </wp:positionV>
                  <wp:extent cx="550545" cy="550545"/>
                  <wp:effectExtent l="0" t="0" r="0" b="0"/>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054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DD164C7" wp14:editId="65142A81">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0FA7AD5" w14:textId="77777777" w:rsidR="00A65ED4" w:rsidRPr="00D44066" w:rsidRDefault="00A65ED4" w:rsidP="00A65ED4">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A65ED4" w:rsidRPr="00EE3A30" w14:paraId="4D0C7144" w14:textId="77777777" w:rsidTr="00B36CE0">
        <w:trPr>
          <w:trHeight w:val="2854"/>
          <w:jc w:val="center"/>
        </w:trPr>
        <w:tc>
          <w:tcPr>
            <w:tcW w:w="1985" w:type="dxa"/>
            <w:shd w:val="clear" w:color="auto" w:fill="FFFFFF"/>
            <w:vAlign w:val="center"/>
          </w:tcPr>
          <w:p w14:paraId="2446F7C0" w14:textId="77777777" w:rsidR="00A65ED4" w:rsidRPr="00EE3A30" w:rsidRDefault="00A65ED4" w:rsidP="00B36CE0">
            <w:pPr>
              <w:spacing w:line="276" w:lineRule="auto"/>
              <w:jc w:val="center"/>
              <w:rPr>
                <w:rFonts w:ascii="Arial" w:hAnsi="Arial" w:cs="Arial"/>
              </w:rPr>
            </w:pPr>
            <w:r w:rsidRPr="00EE3A30">
              <w:rPr>
                <w:rFonts w:ascii="Arial" w:hAnsi="Arial" w:cs="Arial"/>
                <w:noProof/>
              </w:rPr>
              <w:drawing>
                <wp:inline distT="0" distB="0" distL="0" distR="0" wp14:anchorId="51AF7100" wp14:editId="528EFA8B">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19B4755" w14:textId="77777777" w:rsidR="00A65ED4" w:rsidRPr="00A464CE" w:rsidRDefault="00A65ED4" w:rsidP="00B36CE0">
            <w:pPr>
              <w:spacing w:line="276" w:lineRule="auto"/>
              <w:rPr>
                <w:rFonts w:ascii="Arial" w:hAnsi="Arial" w:cs="Arial"/>
                <w:color w:val="6C6361"/>
                <w:sz w:val="20"/>
                <w:szCs w:val="21"/>
              </w:rPr>
            </w:pPr>
            <w:r w:rsidRPr="00E61CEF">
              <w:rPr>
                <w:rFonts w:ascii="Arial" w:hAnsi="Arial" w:cs="Arial"/>
                <w:color w:val="6C6361"/>
                <w:sz w:val="20"/>
                <w:szCs w:val="19"/>
              </w:rPr>
              <w:t>Dr. Stephen Thomson is an Associate Professor at the ANU College of Law, The Australian National University.  He previously worked in Hong Kong for a number of years at The Chinese University of Hong Kong and City University of Hong Kong.  Dr. Thomson is the author of the leading text 'Administrative Law in Hong Kong' (Cambridge University Press, 2018), a Legal Adviser to the Ombudsman of Hong Kong, a member of the Constitutional Affairs and Human Rights Committee of the Law Society of Hong Kong, and an examiner on the Overseas Lawyers Qualification Examination.  He is also the General Editor of the Federal Law Review and was a Herbert Smith Freehills Visitor at the University of Cambridge.  His work has been used by courts, government and legislatures in Hong Kong, the UK and the US.  Dr. Thomson holds a PhD in constitutional and administrative law from the University of Edinburgh.</w:t>
            </w:r>
          </w:p>
        </w:tc>
      </w:tr>
    </w:tbl>
    <w:p w14:paraId="716216B7" w14:textId="77777777" w:rsidR="00A65ED4" w:rsidRPr="00D44066" w:rsidRDefault="00A65ED4" w:rsidP="00A65ED4">
      <w:pPr>
        <w:spacing w:line="276" w:lineRule="auto"/>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A65ED4" w:rsidRPr="00390282" w14:paraId="51E91B4A" w14:textId="77777777" w:rsidTr="00B36CE0">
        <w:trPr>
          <w:trHeight w:val="2148"/>
          <w:jc w:val="center"/>
        </w:trPr>
        <w:tc>
          <w:tcPr>
            <w:tcW w:w="10773" w:type="dxa"/>
            <w:gridSpan w:val="2"/>
            <w:tcBorders>
              <w:top w:val="nil"/>
              <w:bottom w:val="nil"/>
            </w:tcBorders>
            <w:shd w:val="clear" w:color="auto" w:fill="FFFFFF" w:themeFill="background1"/>
            <w:vAlign w:val="center"/>
          </w:tcPr>
          <w:p w14:paraId="5B0E6297" w14:textId="77777777" w:rsidR="00A65ED4" w:rsidRPr="009A6D3F" w:rsidRDefault="00A65ED4" w:rsidP="00B36CE0">
            <w:pPr>
              <w:spacing w:line="276" w:lineRule="auto"/>
              <w:rPr>
                <w:rFonts w:ascii="Arial" w:hAnsi="Arial" w:cs="Arial"/>
                <w:b/>
                <w:color w:val="524B48"/>
                <w:sz w:val="20"/>
              </w:rPr>
            </w:pPr>
            <w:r w:rsidRPr="00EB0E77">
              <w:rPr>
                <w:rFonts w:ascii="Arial" w:hAnsi="Arial" w:cs="Arial"/>
                <w:color w:val="6C6361"/>
                <w:sz w:val="20"/>
              </w:rPr>
              <w:t xml:space="preserve">A very useful and accessible seminar on judicial review in Hong Kong, from the author of the leading text 'Administrative Law in Hong Kong' (Cambridge University Press, 2018). </w:t>
            </w:r>
            <w:r>
              <w:rPr>
                <w:rFonts w:ascii="Arial" w:hAnsi="Arial" w:cs="Arial"/>
                <w:color w:val="6C6361"/>
                <w:sz w:val="20"/>
              </w:rPr>
              <w:t xml:space="preserve"> </w:t>
            </w:r>
            <w:r w:rsidRPr="00EB0E77">
              <w:rPr>
                <w:rFonts w:ascii="Arial" w:hAnsi="Arial" w:cs="Arial"/>
                <w:color w:val="6C6361"/>
                <w:sz w:val="20"/>
              </w:rPr>
              <w:t xml:space="preserve">Whether you work in the public or private sector, it is essential to have a good grasp of this important area of law, which is increasingly prominent in Hong Kong. </w:t>
            </w:r>
            <w:r>
              <w:rPr>
                <w:rFonts w:ascii="Arial" w:hAnsi="Arial" w:cs="Arial"/>
                <w:color w:val="6C6361"/>
                <w:sz w:val="20"/>
              </w:rPr>
              <w:t xml:space="preserve"> </w:t>
            </w:r>
            <w:r w:rsidRPr="00EB0E77">
              <w:rPr>
                <w:rFonts w:ascii="Arial" w:hAnsi="Arial" w:cs="Arial"/>
                <w:color w:val="6C6361"/>
                <w:sz w:val="20"/>
              </w:rPr>
              <w:t>The seminar covers the main aspects of procedure that are key to understanding how judicial review works in practice, including the leave stage and standing requirements.</w:t>
            </w:r>
            <w:r>
              <w:rPr>
                <w:rFonts w:ascii="Arial" w:hAnsi="Arial" w:cs="Arial"/>
                <w:color w:val="6C6361"/>
                <w:sz w:val="20"/>
              </w:rPr>
              <w:t xml:space="preserve"> </w:t>
            </w:r>
            <w:r w:rsidRPr="00EB0E77">
              <w:rPr>
                <w:rFonts w:ascii="Arial" w:hAnsi="Arial" w:cs="Arial"/>
                <w:color w:val="6C6361"/>
                <w:sz w:val="20"/>
              </w:rPr>
              <w:t xml:space="preserve"> It also gives an overview of the main grounds of judicial review and a summary of remedies.</w:t>
            </w:r>
            <w:r>
              <w:rPr>
                <w:rFonts w:ascii="Arial" w:hAnsi="Arial" w:cs="Arial"/>
                <w:color w:val="6C6361"/>
                <w:sz w:val="20"/>
              </w:rPr>
              <w:t xml:space="preserve"> </w:t>
            </w:r>
            <w:r w:rsidRPr="00EB0E77">
              <w:rPr>
                <w:rFonts w:ascii="Arial" w:hAnsi="Arial" w:cs="Arial"/>
                <w:color w:val="6C6361"/>
                <w:sz w:val="20"/>
              </w:rPr>
              <w:t xml:space="preserve"> By the end of the seminar, participants should be more familiar with the procedural and substantive aspects of judicial review in Hong Kong.</w:t>
            </w:r>
            <w:r>
              <w:rPr>
                <w:rFonts w:ascii="Arial" w:hAnsi="Arial" w:cs="Arial"/>
                <w:color w:val="6C6361"/>
                <w:sz w:val="20"/>
              </w:rPr>
              <w:t xml:space="preserve"> </w:t>
            </w:r>
            <w:r w:rsidRPr="00EB0E77">
              <w:rPr>
                <w:rFonts w:ascii="Arial" w:hAnsi="Arial" w:cs="Arial"/>
                <w:color w:val="6C6361"/>
                <w:sz w:val="20"/>
              </w:rPr>
              <w:t xml:space="preserve"> Don't get caught out - (re)</w:t>
            </w:r>
            <w:proofErr w:type="spellStart"/>
            <w:r w:rsidRPr="00EB0E77">
              <w:rPr>
                <w:rFonts w:ascii="Arial" w:hAnsi="Arial" w:cs="Arial"/>
                <w:color w:val="6C6361"/>
                <w:sz w:val="20"/>
              </w:rPr>
              <w:t>familiarise</w:t>
            </w:r>
            <w:proofErr w:type="spellEnd"/>
            <w:r w:rsidRPr="00EB0E77">
              <w:rPr>
                <w:rFonts w:ascii="Arial" w:hAnsi="Arial" w:cs="Arial"/>
                <w:color w:val="6C6361"/>
                <w:sz w:val="20"/>
              </w:rPr>
              <w:t xml:space="preserve"> yourself with this essential area of law!</w:t>
            </w:r>
          </w:p>
        </w:tc>
      </w:tr>
      <w:tr w:rsidR="00A65ED4" w:rsidRPr="00390282" w14:paraId="0D1F9D03" w14:textId="77777777" w:rsidTr="00B36CE0">
        <w:trPr>
          <w:trHeight w:val="340"/>
          <w:jc w:val="center"/>
        </w:trPr>
        <w:tc>
          <w:tcPr>
            <w:tcW w:w="10773" w:type="dxa"/>
            <w:gridSpan w:val="2"/>
            <w:tcBorders>
              <w:top w:val="nil"/>
              <w:bottom w:val="nil"/>
            </w:tcBorders>
            <w:shd w:val="clear" w:color="auto" w:fill="F0EBE1"/>
            <w:vAlign w:val="center"/>
          </w:tcPr>
          <w:p w14:paraId="76C8B6F4" w14:textId="77777777" w:rsidR="00A65ED4" w:rsidRPr="00390282" w:rsidRDefault="00A65ED4" w:rsidP="00B36CE0">
            <w:pPr>
              <w:jc w:val="left"/>
              <w:rPr>
                <w:rFonts w:ascii="Arial" w:hAnsi="Arial" w:cs="Arial"/>
                <w:b/>
                <w:color w:val="524B48"/>
                <w:sz w:val="24"/>
                <w:szCs w:val="24"/>
              </w:rPr>
            </w:pPr>
            <w:r w:rsidRPr="009A6D3F">
              <w:rPr>
                <w:rFonts w:ascii="Arial" w:hAnsi="Arial" w:cs="Arial"/>
                <w:b/>
                <w:color w:val="524B48"/>
                <w:sz w:val="20"/>
              </w:rPr>
              <w:t>Key points covered:</w:t>
            </w:r>
          </w:p>
        </w:tc>
      </w:tr>
      <w:tr w:rsidR="00A65ED4" w:rsidRPr="00390282" w14:paraId="56D7EBFF" w14:textId="77777777" w:rsidTr="00B36CE0">
        <w:trPr>
          <w:trHeight w:val="2196"/>
          <w:jc w:val="center"/>
        </w:trPr>
        <w:tc>
          <w:tcPr>
            <w:tcW w:w="9072" w:type="dxa"/>
            <w:tcBorders>
              <w:top w:val="nil"/>
              <w:bottom w:val="nil"/>
              <w:right w:val="nil"/>
            </w:tcBorders>
            <w:shd w:val="clear" w:color="auto" w:fill="FFFFFF"/>
            <w:vAlign w:val="center"/>
          </w:tcPr>
          <w:p w14:paraId="10D74500" w14:textId="77777777" w:rsidR="00A65ED4" w:rsidRPr="00EB660B" w:rsidRDefault="00A65ED4" w:rsidP="00B36CE0">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Judicial review procedure</w:t>
            </w:r>
          </w:p>
          <w:p w14:paraId="2D7EBA5D" w14:textId="77777777" w:rsidR="00A65ED4" w:rsidRPr="00EB660B" w:rsidRDefault="00A65ED4" w:rsidP="00B36CE0">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 xml:space="preserve">The leave </w:t>
            </w:r>
            <w:proofErr w:type="gramStart"/>
            <w:r w:rsidRPr="00EB660B">
              <w:rPr>
                <w:rFonts w:ascii="Arial" w:hAnsi="Arial" w:cs="Arial"/>
                <w:color w:val="6C6361"/>
                <w:sz w:val="20"/>
              </w:rPr>
              <w:t>stage</w:t>
            </w:r>
            <w:proofErr w:type="gramEnd"/>
          </w:p>
          <w:p w14:paraId="71C03F73" w14:textId="77777777" w:rsidR="00A65ED4" w:rsidRPr="00EB660B" w:rsidRDefault="00A65ED4" w:rsidP="00B36CE0">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The public/private divide</w:t>
            </w:r>
          </w:p>
          <w:p w14:paraId="774F0B6C" w14:textId="77777777" w:rsidR="00A65ED4" w:rsidRPr="00EB660B" w:rsidRDefault="00A65ED4" w:rsidP="00B36CE0">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Delay and standing requirements</w:t>
            </w:r>
          </w:p>
          <w:p w14:paraId="2E7616C3" w14:textId="77777777" w:rsidR="00A65ED4" w:rsidRPr="00EB660B" w:rsidRDefault="00A65ED4" w:rsidP="00B36CE0">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Ouster clauses</w:t>
            </w:r>
          </w:p>
          <w:p w14:paraId="0353F94E" w14:textId="77777777" w:rsidR="00A65ED4" w:rsidRPr="00EB660B" w:rsidRDefault="00A65ED4" w:rsidP="00B36CE0">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Main grounds of judicial review: improper purposes, unlawful delegation, fettering of discretion, breach of legitimate expectations and more</w:t>
            </w:r>
          </w:p>
          <w:p w14:paraId="478FDD3B" w14:textId="77777777" w:rsidR="00A65ED4" w:rsidRPr="009A6D3F" w:rsidRDefault="00A65ED4" w:rsidP="00B36CE0">
            <w:pPr>
              <w:pStyle w:val="ListParagraph"/>
              <w:numPr>
                <w:ilvl w:val="0"/>
                <w:numId w:val="2"/>
              </w:numPr>
              <w:rPr>
                <w:rFonts w:ascii="Arial" w:hAnsi="Arial" w:cs="Arial"/>
                <w:color w:val="6C6361"/>
                <w:sz w:val="20"/>
                <w:szCs w:val="24"/>
              </w:rPr>
            </w:pPr>
            <w:r w:rsidRPr="00EB660B">
              <w:rPr>
                <w:rFonts w:ascii="Arial" w:hAnsi="Arial" w:cs="Arial"/>
                <w:color w:val="6C6361"/>
                <w:sz w:val="20"/>
              </w:rPr>
              <w:t>Remedies</w:t>
            </w:r>
          </w:p>
        </w:tc>
        <w:tc>
          <w:tcPr>
            <w:tcW w:w="1701" w:type="dxa"/>
            <w:tcBorders>
              <w:top w:val="nil"/>
              <w:left w:val="nil"/>
              <w:bottom w:val="nil"/>
            </w:tcBorders>
            <w:shd w:val="clear" w:color="auto" w:fill="FFFFFF" w:themeFill="background1"/>
            <w:vAlign w:val="center"/>
          </w:tcPr>
          <w:p w14:paraId="75270D9B" w14:textId="77777777" w:rsidR="00A65ED4" w:rsidRPr="00EB660B" w:rsidRDefault="00A65ED4" w:rsidP="00B36CE0">
            <w:pPr>
              <w:jc w:val="center"/>
              <w:rPr>
                <w:rFonts w:ascii="Arial" w:hAnsi="Arial" w:cs="Arial"/>
                <w:color w:val="6C6361"/>
                <w:szCs w:val="24"/>
              </w:rPr>
            </w:pPr>
          </w:p>
          <w:p w14:paraId="7641D6BC" w14:textId="77777777" w:rsidR="00A65ED4" w:rsidRPr="00EE3A30" w:rsidRDefault="00A65ED4" w:rsidP="00B36CE0">
            <w:pPr>
              <w:jc w:val="center"/>
              <w:rPr>
                <w:rFonts w:ascii="Arial" w:hAnsi="Arial" w:cs="Arial"/>
                <w:color w:val="6C6361"/>
                <w:sz w:val="24"/>
                <w:szCs w:val="24"/>
              </w:rPr>
            </w:pPr>
            <w:r w:rsidRPr="00A464CE">
              <w:rPr>
                <w:rFonts w:ascii="Arial" w:hAnsi="Arial" w:cs="Arial"/>
                <w:noProof/>
                <w:color w:val="6C6361"/>
                <w:sz w:val="24"/>
                <w:szCs w:val="24"/>
              </w:rPr>
              <w:drawing>
                <wp:inline distT="0" distB="0" distL="0" distR="0" wp14:anchorId="522E95C4" wp14:editId="60344FED">
                  <wp:extent cx="892799" cy="1021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799" cy="1021690"/>
                          </a:xfrm>
                          <a:prstGeom prst="rect">
                            <a:avLst/>
                          </a:prstGeom>
                          <a:noFill/>
                          <a:ln>
                            <a:noFill/>
                          </a:ln>
                        </pic:spPr>
                      </pic:pic>
                    </a:graphicData>
                  </a:graphic>
                </wp:inline>
              </w:drawing>
            </w:r>
          </w:p>
        </w:tc>
      </w:tr>
    </w:tbl>
    <w:p w14:paraId="53FF4EC7" w14:textId="77777777" w:rsidR="00772CFE" w:rsidRPr="00A65ED4" w:rsidRDefault="00772CFE" w:rsidP="005C693B">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3674"/>
        <w:gridCol w:w="1700"/>
        <w:gridCol w:w="2464"/>
        <w:gridCol w:w="1239"/>
      </w:tblGrid>
      <w:tr w:rsidR="00A65ED4" w:rsidRPr="005A2F25" w14:paraId="16261A52" w14:textId="77777777" w:rsidTr="007A74B2">
        <w:trPr>
          <w:trHeight w:val="340"/>
          <w:jc w:val="center"/>
        </w:trPr>
        <w:tc>
          <w:tcPr>
            <w:tcW w:w="1695" w:type="dxa"/>
            <w:tcBorders>
              <w:top w:val="nil"/>
              <w:left w:val="nil"/>
              <w:bottom w:val="single" w:sz="12" w:space="0" w:color="FFFFFF"/>
            </w:tcBorders>
            <w:shd w:val="clear" w:color="auto" w:fill="F0EBE1"/>
            <w:vAlign w:val="center"/>
          </w:tcPr>
          <w:p w14:paraId="5C7E13A5" w14:textId="193829BC"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tcBorders>
              <w:top w:val="nil"/>
              <w:bottom w:val="single" w:sz="12" w:space="0" w:color="F0EBE1"/>
            </w:tcBorders>
            <w:shd w:val="clear" w:color="auto" w:fill="FFFFFF"/>
            <w:vAlign w:val="center"/>
          </w:tcPr>
          <w:p w14:paraId="6BC483EB" w14:textId="68D5FF6C"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EVT000000414</w:t>
            </w:r>
          </w:p>
        </w:tc>
        <w:tc>
          <w:tcPr>
            <w:tcW w:w="1700" w:type="dxa"/>
            <w:tcBorders>
              <w:top w:val="nil"/>
              <w:bottom w:val="single" w:sz="12" w:space="0" w:color="FFFFFF"/>
            </w:tcBorders>
            <w:shd w:val="clear" w:color="auto" w:fill="F0EBE1"/>
            <w:vAlign w:val="center"/>
          </w:tcPr>
          <w:p w14:paraId="6D05CC8C" w14:textId="54005224"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14:paraId="12851292" w14:textId="04E5F003"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A65ED4" w:rsidRPr="005A2F25" w14:paraId="48688272" w14:textId="77777777"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14:paraId="4ECC86DE" w14:textId="0E0481D1"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tcBorders>
              <w:top w:val="single" w:sz="12" w:space="0" w:color="F0EBE1"/>
              <w:bottom w:val="single" w:sz="12" w:space="0" w:color="F0EBE1"/>
            </w:tcBorders>
            <w:shd w:val="clear" w:color="auto" w:fill="FFFFFF"/>
            <w:vAlign w:val="center"/>
          </w:tcPr>
          <w:p w14:paraId="175ECCA4" w14:textId="1608E1D1" w:rsidR="00A65ED4" w:rsidRPr="006B70C1"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44066">
              <w:rPr>
                <w:rFonts w:ascii="Arial" w:hAnsi="Arial" w:cs="Arial"/>
                <w:b/>
                <w:color w:val="6C6361"/>
                <w:sz w:val="20"/>
                <w:szCs w:val="20"/>
              </w:rPr>
              <w:t>13 December 2023 (Wednesday) (Amended)</w:t>
            </w:r>
          </w:p>
        </w:tc>
        <w:tc>
          <w:tcPr>
            <w:tcW w:w="1700" w:type="dxa"/>
            <w:tcBorders>
              <w:top w:val="single" w:sz="12" w:space="0" w:color="FFFFFF"/>
              <w:bottom w:val="single" w:sz="12" w:space="0" w:color="FFFFFF"/>
            </w:tcBorders>
            <w:shd w:val="clear" w:color="auto" w:fill="F0EBE1"/>
            <w:vAlign w:val="center"/>
          </w:tcPr>
          <w:p w14:paraId="2ADD68D3" w14:textId="403AD511"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14:paraId="0B0B37CE" w14:textId="03919B3B"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A65ED4" w:rsidRPr="005A2F25" w14:paraId="24A8FEAA" w14:textId="77777777"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14:paraId="6C613A7C" w14:textId="143568DB"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tcBorders>
              <w:top w:val="single" w:sz="12" w:space="0" w:color="F0EBE1"/>
              <w:bottom w:val="single" w:sz="12" w:space="0" w:color="F0EBE1"/>
            </w:tcBorders>
            <w:shd w:val="clear" w:color="auto" w:fill="FFFFFF"/>
            <w:vAlign w:val="center"/>
          </w:tcPr>
          <w:p w14:paraId="23258040" w14:textId="77777777" w:rsidR="00A65ED4"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14:paraId="495510C3" w14:textId="70B5D7C3" w:rsidR="00A65ED4" w:rsidRPr="00EC7ADB"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5F70E081" w14:textId="61DE03E3" w:rsidR="00A65ED4" w:rsidRPr="002343EF"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14:paraId="0861A2A3" w14:textId="6EE208C1" w:rsidR="00A65ED4" w:rsidRPr="006B70C1" w:rsidRDefault="00A65ED4" w:rsidP="00A6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772CFE" w:rsidRPr="005A2F25" w14:paraId="58359D86" w14:textId="77777777" w:rsidTr="002B3B6F">
        <w:trPr>
          <w:trHeight w:val="1134"/>
          <w:jc w:val="center"/>
        </w:trPr>
        <w:tc>
          <w:tcPr>
            <w:tcW w:w="1695" w:type="dxa"/>
            <w:tcBorders>
              <w:top w:val="single" w:sz="12" w:space="0" w:color="FFFFFF"/>
              <w:left w:val="nil"/>
              <w:bottom w:val="nil"/>
            </w:tcBorders>
            <w:shd w:val="clear" w:color="auto" w:fill="F0EBE1"/>
            <w:vAlign w:val="center"/>
          </w:tcPr>
          <w:p w14:paraId="023E831F" w14:textId="352F17BE"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74" w:type="dxa"/>
            <w:tcBorders>
              <w:top w:val="single" w:sz="12" w:space="0" w:color="F0EBE1"/>
              <w:bottom w:val="nil"/>
            </w:tcBorders>
            <w:shd w:val="clear" w:color="auto" w:fill="FFFFFF"/>
            <w:vAlign w:val="center"/>
          </w:tcPr>
          <w:p w14:paraId="316C581A" w14:textId="6AAE9C54" w:rsidR="00772CFE" w:rsidRPr="00334CAE" w:rsidRDefault="00772CFE" w:rsidP="00772CFE">
            <w:pPr>
              <w:ind w:right="400"/>
              <w:rPr>
                <w:rFonts w:ascii="Arial" w:hAnsi="Arial" w:cs="Arial"/>
                <w:b/>
                <w:color w:val="6C6361"/>
                <w:sz w:val="12"/>
                <w:szCs w:val="12"/>
              </w:rPr>
            </w:pPr>
            <w:r w:rsidRPr="004A4C99">
              <w:rPr>
                <w:rFonts w:ascii="Arial" w:eastAsia="Times New Roman" w:hAnsi="Arial" w:cs="Arial"/>
                <w:b/>
                <w:noProof/>
                <w:color w:val="6C6361"/>
                <w:sz w:val="20"/>
                <w:szCs w:val="20"/>
              </w:rPr>
              <w:t>Online</w:t>
            </w:r>
            <w:r>
              <w:rPr>
                <w:rFonts w:ascii="Arial" w:eastAsia="Times New Roman" w:hAnsi="Arial" w:cs="Arial"/>
                <w:noProof/>
                <w:color w:val="6C6361"/>
                <w:sz w:val="20"/>
                <w:szCs w:val="20"/>
              </w:rPr>
              <w:t xml:space="preserve"> via Zoom</w:t>
            </w:r>
          </w:p>
        </w:tc>
        <w:tc>
          <w:tcPr>
            <w:tcW w:w="1700" w:type="dxa"/>
            <w:tcBorders>
              <w:top w:val="single" w:sz="12" w:space="0" w:color="FFFFFF"/>
              <w:bottom w:val="nil"/>
            </w:tcBorders>
            <w:shd w:val="clear" w:color="auto" w:fill="F0EBE1"/>
            <w:vAlign w:val="center"/>
          </w:tcPr>
          <w:p w14:paraId="247C9F4F" w14:textId="77777777" w:rsidR="00772CFE" w:rsidRPr="003A2A4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5BF86693" w14:textId="77777777" w:rsidR="00772CFE" w:rsidRPr="003A2A4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14:paraId="6383FD2D" w14:textId="77777777" w:rsidR="00772CFE" w:rsidRPr="003A2A4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59949724" w14:textId="77777777" w:rsidR="00772CFE" w:rsidRPr="003A2A4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34771A38" w14:textId="77777777" w:rsidR="00772CFE" w:rsidRPr="00156567"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958CB14" wp14:editId="2E7369F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1BE90CF3" w14:textId="77777777" w:rsidR="00214BC6" w:rsidRPr="007A74B2" w:rsidRDefault="00214BC6" w:rsidP="005C693B">
      <w:pPr>
        <w:rPr>
          <w:sz w:val="2"/>
          <w:szCs w:val="2"/>
        </w:rPr>
      </w:pPr>
    </w:p>
    <w:sectPr w:rsidR="00214BC6" w:rsidRPr="007A74B2"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1A24A" w14:textId="77777777" w:rsidR="00315527" w:rsidRDefault="00315527" w:rsidP="00546556">
      <w:r>
        <w:separator/>
      </w:r>
    </w:p>
  </w:endnote>
  <w:endnote w:type="continuationSeparator" w:id="0">
    <w:p w14:paraId="492A3EAC" w14:textId="77777777" w:rsidR="00315527" w:rsidRDefault="0031552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F312"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279FF8D5" w14:textId="77777777" w:rsidTr="00A775CE">
      <w:trPr>
        <w:trHeight w:val="1824"/>
        <w:jc w:val="center"/>
      </w:trPr>
      <w:tc>
        <w:tcPr>
          <w:tcW w:w="5954" w:type="dxa"/>
          <w:vAlign w:val="bottom"/>
        </w:tcPr>
        <w:p w14:paraId="4E09D015"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65DBB75C" wp14:editId="39161FD6">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9808799" w14:textId="77777777" w:rsidR="00197F64" w:rsidRPr="00EA2D57" w:rsidRDefault="00197F64" w:rsidP="00197F64">
          <w:pPr>
            <w:ind w:right="33"/>
            <w:jc w:val="center"/>
            <w:rPr>
              <w:rFonts w:ascii="Arial" w:hAnsi="Arial" w:cs="Arial"/>
              <w:color w:val="E4DCCA"/>
              <w:sz w:val="16"/>
              <w:szCs w:val="16"/>
            </w:rPr>
          </w:pPr>
        </w:p>
        <w:p w14:paraId="02DEEDD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D575B93"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5B60E3A8"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2F0A78ED"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0D01F4C" wp14:editId="6B4D762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FCDEE38"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5A38B72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CD83B93"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1E72446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0B700A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F19BCC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58A40" w14:textId="77777777" w:rsidR="00315527" w:rsidRDefault="00315527" w:rsidP="00546556">
      <w:r>
        <w:separator/>
      </w:r>
    </w:p>
  </w:footnote>
  <w:footnote w:type="continuationSeparator" w:id="0">
    <w:p w14:paraId="377FBEE0" w14:textId="77777777" w:rsidR="00315527" w:rsidRDefault="00315527"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A882" w14:textId="77777777" w:rsidR="002C4DC0" w:rsidRDefault="00F0384F">
    <w:pPr>
      <w:pStyle w:val="Header"/>
    </w:pPr>
    <w:r>
      <w:rPr>
        <w:noProof/>
      </w:rPr>
      <w:drawing>
        <wp:anchor distT="0" distB="0" distL="114300" distR="114300" simplePos="0" relativeHeight="251659264" behindDoc="1" locked="0" layoutInCell="1" allowOverlap="1" wp14:anchorId="2796A5E6" wp14:editId="59672AA4">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gutterAtTop/>
  <w:proofState w:spelling="clean" w:grammar="clean"/>
  <w:documentProtection w:edit="forms" w:enforcement="1" w:cryptProviderType="rsaAES" w:cryptAlgorithmClass="hash" w:cryptAlgorithmType="typeAny" w:cryptAlgorithmSid="14" w:cryptSpinCount="100000" w:hash="IpgE0gN9iOSjAIprU5KvlKBDXwTs5d23VZZEtY0YbK4ovsp42a2YSUD7gsiddwaPPHrj85AF7iIPodobtaKRlw==" w:salt="m1MdCDzoJq7t2i02m8INB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527"/>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B7685"/>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59FB"/>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4B9"/>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4BF0"/>
    <w:rsid w:val="006D4D2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53CA"/>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CFE"/>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776"/>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5ED4"/>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40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ED"/>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C7CD4"/>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1A338"/>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772C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414/"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3CE93-389D-4D79-B54D-AF8E200A5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Judicial Review in a Nutshell</vt:lpstr>
    </vt:vector>
  </TitlesOfParts>
  <Manager>Tyrone Tsang</Manager>
  <Company>The Profectional Company Limited</Company>
  <LinksUpToDate>false</LinksUpToDate>
  <CharactersWithSpaces>2583</CharactersWithSpaces>
  <SharedDoc>false</SharedDoc>
  <HyperlinkBase>http://download.profectional.com/events/EVT000000414.docx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Judicial Review in a Nutshell</dc:title>
  <dc:subject>CPD Course: Judicial Review in a Nutshell</dc:subject>
  <dc:creator>The Profectional Company Limited</dc:creator>
  <cp:keywords>Profectional; Kornerstone; CPD; CPT; CLE; CE; RME; Stephen Thomson; Associate Professor; ANU College of Law; The Australian National University</cp:keywords>
  <dc:description/>
  <cp:lastModifiedBy>Tyrone Tsang</cp:lastModifiedBy>
  <cp:revision>62</cp:revision>
  <cp:lastPrinted>2023-12-08T03:17:00Z</cp:lastPrinted>
  <dcterms:created xsi:type="dcterms:W3CDTF">2015-08-21T08:33:00Z</dcterms:created>
  <dcterms:modified xsi:type="dcterms:W3CDTF">2023-12-08T03:17:00Z</dcterms:modified>
  <cp:category/>
</cp:coreProperties>
</file>