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02114" w14:textId="77777777" w:rsidR="00D2168A" w:rsidRPr="00D2168A" w:rsidRDefault="00D2168A" w:rsidP="00D2168A">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D2168A" w:rsidRPr="00523A64" w14:paraId="34256064" w14:textId="77777777" w:rsidTr="009B1687">
        <w:trPr>
          <w:trHeight w:val="3119"/>
          <w:jc w:val="center"/>
        </w:trPr>
        <w:tc>
          <w:tcPr>
            <w:tcW w:w="4820" w:type="dxa"/>
            <w:shd w:val="clear" w:color="auto" w:fill="FFFFFF"/>
            <w:vAlign w:val="center"/>
          </w:tcPr>
          <w:p w14:paraId="7FF199C9" w14:textId="77777777" w:rsidR="00D2168A" w:rsidRPr="001A3018" w:rsidRDefault="00D2168A" w:rsidP="009B1687">
            <w:pPr>
              <w:jc w:val="center"/>
              <w:rPr>
                <w:rFonts w:ascii="Arial" w:hAnsi="Arial" w:cs="Arial"/>
                <w:b/>
                <w:bCs/>
                <w:color w:val="524B48"/>
                <w:sz w:val="4"/>
                <w:szCs w:val="4"/>
              </w:rPr>
            </w:pPr>
          </w:p>
          <w:p w14:paraId="72A5A396" w14:textId="77777777" w:rsidR="00D2168A" w:rsidRPr="00CF685C" w:rsidRDefault="00D2168A" w:rsidP="009B1687">
            <w:pPr>
              <w:jc w:val="center"/>
              <w:rPr>
                <w:rStyle w:val="Hyperlink"/>
                <w:rFonts w:ascii="Arial" w:hAnsi="Arial" w:cs="Arial"/>
                <w:b/>
                <w:bCs/>
                <w:color w:val="524B48"/>
                <w:sz w:val="32"/>
                <w:szCs w:val="32"/>
                <w:u w:val="none"/>
              </w:rPr>
            </w:pPr>
            <w:r w:rsidRPr="00CF685C">
              <w:fldChar w:fldCharType="begin"/>
            </w:r>
            <w:r>
              <w:instrText>HYPERLINK "http://cpd.hk/evt000000408/"</w:instrText>
            </w:r>
            <w:r w:rsidRPr="00CF685C">
              <w:fldChar w:fldCharType="separate"/>
            </w:r>
            <w:r w:rsidRPr="008B6943">
              <w:rPr>
                <w:rStyle w:val="Hyperlink"/>
                <w:rFonts w:ascii="Arial" w:hAnsi="Arial" w:cs="Arial"/>
                <w:b/>
                <w:bCs/>
                <w:color w:val="524B48"/>
                <w:sz w:val="32"/>
                <w:szCs w:val="32"/>
                <w:u w:val="none"/>
              </w:rPr>
              <w:t>A Comprehensive</w:t>
            </w:r>
            <w:r>
              <w:rPr>
                <w:rStyle w:val="Hyperlink"/>
                <w:rFonts w:ascii="Arial" w:hAnsi="Arial" w:cs="Arial"/>
                <w:b/>
                <w:bCs/>
                <w:color w:val="524B48"/>
                <w:sz w:val="32"/>
                <w:szCs w:val="32"/>
                <w:u w:val="none"/>
              </w:rPr>
              <w:br/>
            </w:r>
            <w:r w:rsidRPr="008B6943">
              <w:rPr>
                <w:rStyle w:val="Hyperlink"/>
                <w:rFonts w:ascii="Arial" w:hAnsi="Arial" w:cs="Arial"/>
                <w:b/>
                <w:bCs/>
                <w:color w:val="524B48"/>
                <w:sz w:val="32"/>
                <w:szCs w:val="32"/>
                <w:u w:val="none"/>
              </w:rPr>
              <w:t>Guide</w:t>
            </w:r>
            <w:r>
              <w:rPr>
                <w:rStyle w:val="Hyperlink"/>
                <w:rFonts w:ascii="Arial" w:hAnsi="Arial" w:cs="Arial"/>
                <w:b/>
                <w:bCs/>
                <w:color w:val="524B48"/>
                <w:sz w:val="32"/>
                <w:szCs w:val="32"/>
                <w:u w:val="none"/>
              </w:rPr>
              <w:t xml:space="preserve"> </w:t>
            </w:r>
            <w:r w:rsidRPr="008B6943">
              <w:rPr>
                <w:rStyle w:val="Hyperlink"/>
                <w:rFonts w:ascii="Arial" w:hAnsi="Arial" w:cs="Arial"/>
                <w:b/>
                <w:bCs/>
                <w:color w:val="524B48"/>
                <w:sz w:val="32"/>
                <w:szCs w:val="32"/>
                <w:u w:val="none"/>
              </w:rPr>
              <w:t>to Ancillary Relief</w:t>
            </w:r>
            <w:r>
              <w:rPr>
                <w:rStyle w:val="Hyperlink"/>
                <w:rFonts w:ascii="Arial" w:hAnsi="Arial" w:cs="Arial"/>
                <w:b/>
                <w:bCs/>
                <w:color w:val="524B48"/>
                <w:sz w:val="32"/>
                <w:szCs w:val="32"/>
                <w:u w:val="none"/>
              </w:rPr>
              <w:br/>
            </w:r>
            <w:r w:rsidRPr="008B6943">
              <w:rPr>
                <w:rStyle w:val="Hyperlink"/>
                <w:rFonts w:ascii="Arial" w:hAnsi="Arial" w:cs="Arial"/>
                <w:b/>
                <w:bCs/>
                <w:color w:val="524B48"/>
                <w:sz w:val="32"/>
                <w:szCs w:val="32"/>
                <w:u w:val="none"/>
              </w:rPr>
              <w:t>Law</w:t>
            </w:r>
            <w:r>
              <w:rPr>
                <w:rStyle w:val="Hyperlink"/>
                <w:rFonts w:ascii="Arial" w:hAnsi="Arial" w:cs="Arial"/>
                <w:b/>
                <w:bCs/>
                <w:color w:val="524B48"/>
                <w:sz w:val="32"/>
                <w:szCs w:val="32"/>
                <w:u w:val="none"/>
              </w:rPr>
              <w:t xml:space="preserve"> </w:t>
            </w:r>
            <w:r w:rsidRPr="008B6943">
              <w:rPr>
                <w:rStyle w:val="Hyperlink"/>
                <w:rFonts w:ascii="Arial" w:hAnsi="Arial" w:cs="Arial"/>
                <w:b/>
                <w:bCs/>
                <w:color w:val="524B48"/>
                <w:sz w:val="32"/>
                <w:szCs w:val="32"/>
                <w:u w:val="none"/>
              </w:rPr>
              <w:t>and Procedure</w:t>
            </w:r>
            <w:r>
              <w:rPr>
                <w:rStyle w:val="Hyperlink"/>
                <w:rFonts w:ascii="Arial" w:hAnsi="Arial" w:cs="Arial"/>
                <w:b/>
                <w:bCs/>
                <w:color w:val="524B48"/>
                <w:sz w:val="32"/>
                <w:szCs w:val="32"/>
                <w:u w:val="none"/>
              </w:rPr>
              <w:br/>
            </w:r>
            <w:r w:rsidRPr="008B6943">
              <w:rPr>
                <w:rStyle w:val="Hyperlink"/>
                <w:rFonts w:ascii="Arial" w:hAnsi="Arial" w:cs="Arial"/>
                <w:b/>
                <w:bCs/>
                <w:color w:val="524B48"/>
                <w:sz w:val="32"/>
                <w:szCs w:val="32"/>
                <w:u w:val="none"/>
              </w:rPr>
              <w:t>in Hong Kong,</w:t>
            </w:r>
            <w:r>
              <w:rPr>
                <w:rStyle w:val="Hyperlink"/>
                <w:rFonts w:ascii="Arial" w:hAnsi="Arial" w:cs="Arial"/>
                <w:b/>
                <w:bCs/>
                <w:color w:val="524B48"/>
                <w:sz w:val="32"/>
                <w:szCs w:val="32"/>
                <w:u w:val="none"/>
              </w:rPr>
              <w:br/>
            </w:r>
            <w:r w:rsidRPr="008B6943">
              <w:rPr>
                <w:rStyle w:val="Hyperlink"/>
                <w:rFonts w:ascii="Arial" w:hAnsi="Arial" w:cs="Arial"/>
                <w:b/>
                <w:bCs/>
                <w:color w:val="524B48"/>
                <w:sz w:val="32"/>
                <w:szCs w:val="32"/>
                <w:u w:val="none"/>
              </w:rPr>
              <w:t>with a Focus on</w:t>
            </w:r>
            <w:r>
              <w:rPr>
                <w:rStyle w:val="Hyperlink"/>
                <w:rFonts w:ascii="Arial" w:hAnsi="Arial" w:cs="Arial"/>
                <w:b/>
                <w:bCs/>
                <w:color w:val="524B48"/>
                <w:sz w:val="32"/>
                <w:szCs w:val="32"/>
                <w:u w:val="none"/>
              </w:rPr>
              <w:br/>
            </w:r>
            <w:r w:rsidRPr="008B6943">
              <w:rPr>
                <w:rStyle w:val="Hyperlink"/>
                <w:rFonts w:ascii="Arial" w:hAnsi="Arial" w:cs="Arial"/>
                <w:b/>
                <w:bCs/>
                <w:color w:val="524B48"/>
                <w:sz w:val="32"/>
                <w:szCs w:val="32"/>
                <w:u w:val="none"/>
              </w:rPr>
              <w:t>the Court's Treatment</w:t>
            </w:r>
            <w:r>
              <w:rPr>
                <w:rStyle w:val="Hyperlink"/>
                <w:rFonts w:ascii="Arial" w:hAnsi="Arial" w:cs="Arial"/>
                <w:b/>
                <w:bCs/>
                <w:color w:val="524B48"/>
                <w:sz w:val="32"/>
                <w:szCs w:val="32"/>
                <w:u w:val="none"/>
              </w:rPr>
              <w:br/>
            </w:r>
            <w:r w:rsidRPr="008B6943">
              <w:rPr>
                <w:rStyle w:val="Hyperlink"/>
                <w:rFonts w:ascii="Arial" w:hAnsi="Arial" w:cs="Arial"/>
                <w:b/>
                <w:bCs/>
                <w:color w:val="524B48"/>
                <w:sz w:val="32"/>
                <w:szCs w:val="32"/>
                <w:u w:val="none"/>
              </w:rPr>
              <w:t xml:space="preserve">of </w:t>
            </w:r>
            <w:proofErr w:type="gramStart"/>
            <w:r w:rsidRPr="008B6943">
              <w:rPr>
                <w:rStyle w:val="Hyperlink"/>
                <w:rFonts w:ascii="Arial" w:hAnsi="Arial" w:cs="Arial"/>
                <w:b/>
                <w:bCs/>
                <w:color w:val="524B48"/>
                <w:sz w:val="32"/>
                <w:szCs w:val="32"/>
                <w:u w:val="none"/>
              </w:rPr>
              <w:t>Post-Separation</w:t>
            </w:r>
            <w:proofErr w:type="gramEnd"/>
            <w:r>
              <w:rPr>
                <w:rStyle w:val="Hyperlink"/>
                <w:rFonts w:ascii="Arial" w:hAnsi="Arial" w:cs="Arial"/>
                <w:b/>
                <w:bCs/>
                <w:color w:val="524B48"/>
                <w:sz w:val="32"/>
                <w:szCs w:val="32"/>
                <w:u w:val="none"/>
              </w:rPr>
              <w:br/>
            </w:r>
            <w:r w:rsidRPr="008B6943">
              <w:rPr>
                <w:rStyle w:val="Hyperlink"/>
                <w:rFonts w:ascii="Arial" w:hAnsi="Arial" w:cs="Arial"/>
                <w:b/>
                <w:bCs/>
                <w:color w:val="524B48"/>
                <w:sz w:val="32"/>
                <w:szCs w:val="32"/>
                <w:u w:val="none"/>
              </w:rPr>
              <w:t>Assets</w:t>
            </w:r>
            <w:r>
              <w:rPr>
                <w:rStyle w:val="Hyperlink"/>
                <w:rFonts w:ascii="Arial" w:hAnsi="Arial" w:cs="Arial"/>
                <w:b/>
                <w:bCs/>
                <w:color w:val="524B48"/>
                <w:sz w:val="32"/>
                <w:szCs w:val="32"/>
                <w:u w:val="none"/>
              </w:rPr>
              <w:t xml:space="preserve"> </w:t>
            </w:r>
            <w:r w:rsidRPr="008B6943">
              <w:rPr>
                <w:rStyle w:val="Hyperlink"/>
                <w:rFonts w:ascii="Arial" w:hAnsi="Arial" w:cs="Arial"/>
                <w:b/>
                <w:bCs/>
                <w:color w:val="524B48"/>
                <w:sz w:val="32"/>
                <w:szCs w:val="32"/>
                <w:u w:val="none"/>
              </w:rPr>
              <w:t>and Pensions</w:t>
            </w:r>
          </w:p>
          <w:p w14:paraId="5781A8B4" w14:textId="77777777" w:rsidR="00D2168A" w:rsidRPr="00C65AFD" w:rsidRDefault="00D2168A" w:rsidP="009B1687">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2431DAEF" w14:textId="77777777" w:rsidR="00D2168A" w:rsidRPr="00C65AFD" w:rsidRDefault="00D2168A" w:rsidP="009B1687">
            <w:pPr>
              <w:jc w:val="center"/>
              <w:rPr>
                <w:rFonts w:ascii="Arial" w:hAnsi="Arial" w:cs="Arial"/>
                <w:i/>
                <w:color w:val="6C6361"/>
                <w:sz w:val="24"/>
                <w:szCs w:val="24"/>
              </w:rPr>
            </w:pPr>
            <w:r w:rsidRPr="00C65AFD">
              <w:rPr>
                <w:rFonts w:ascii="Arial" w:hAnsi="Arial" w:cs="Arial"/>
                <w:i/>
                <w:color w:val="6C6361"/>
                <w:sz w:val="24"/>
                <w:szCs w:val="24"/>
              </w:rPr>
              <w:t>by</w:t>
            </w:r>
          </w:p>
          <w:p w14:paraId="27A8B8A0" w14:textId="77777777" w:rsidR="00D2168A" w:rsidRPr="008B6943" w:rsidRDefault="00D2168A" w:rsidP="009B1687">
            <w:pPr>
              <w:jc w:val="center"/>
              <w:rPr>
                <w:rFonts w:ascii="Arial" w:hAnsi="Arial" w:cs="Arial"/>
                <w:color w:val="6C6361"/>
                <w:sz w:val="24"/>
                <w:szCs w:val="24"/>
              </w:rPr>
            </w:pPr>
            <w:hyperlink r:id="rId8" w:history="1">
              <w:r w:rsidRPr="008B6943">
                <w:rPr>
                  <w:rStyle w:val="Hyperlink"/>
                  <w:rFonts w:ascii="Arial" w:hAnsi="Arial" w:cs="Arial"/>
                  <w:color w:val="6C6361"/>
                  <w:sz w:val="24"/>
                  <w:szCs w:val="24"/>
                  <w:u w:val="none"/>
                </w:rPr>
                <w:t>Mr. Sebastian Leung</w:t>
              </w:r>
            </w:hyperlink>
            <w:r w:rsidRPr="008B6943">
              <w:rPr>
                <w:rFonts w:ascii="Arial" w:hAnsi="Arial" w:cs="Arial"/>
                <w:color w:val="6C6361"/>
                <w:sz w:val="24"/>
                <w:szCs w:val="24"/>
              </w:rPr>
              <w:t>,</w:t>
            </w:r>
          </w:p>
          <w:p w14:paraId="0EBF95A4" w14:textId="77777777" w:rsidR="00D2168A" w:rsidRDefault="00D2168A" w:rsidP="009B1687">
            <w:pPr>
              <w:jc w:val="center"/>
              <w:rPr>
                <w:rFonts w:ascii="Arial" w:hAnsi="Arial" w:cs="Arial"/>
                <w:color w:val="6C6361"/>
                <w:sz w:val="24"/>
                <w:szCs w:val="24"/>
              </w:rPr>
            </w:pPr>
            <w:r>
              <w:rPr>
                <w:rFonts w:ascii="Arial" w:hAnsi="Arial" w:cs="Arial"/>
                <w:color w:val="6C6361"/>
                <w:sz w:val="24"/>
                <w:szCs w:val="24"/>
              </w:rPr>
              <w:t>Barrister-at-Law,</w:t>
            </w:r>
          </w:p>
          <w:p w14:paraId="66DC5AF0" w14:textId="77777777" w:rsidR="00D2168A" w:rsidRDefault="00D2168A" w:rsidP="009B1687">
            <w:pPr>
              <w:jc w:val="center"/>
              <w:rPr>
                <w:rFonts w:ascii="Arial" w:hAnsi="Arial" w:cs="Arial"/>
                <w:color w:val="6C6361"/>
                <w:sz w:val="24"/>
                <w:szCs w:val="24"/>
              </w:rPr>
            </w:pPr>
            <w:proofErr w:type="spellStart"/>
            <w:r>
              <w:rPr>
                <w:rFonts w:ascii="Arial" w:hAnsi="Arial" w:cs="Arial"/>
                <w:color w:val="6C6361"/>
                <w:sz w:val="24"/>
                <w:szCs w:val="24"/>
              </w:rPr>
              <w:t>Bernacchi</w:t>
            </w:r>
            <w:proofErr w:type="spellEnd"/>
            <w:r>
              <w:rPr>
                <w:rFonts w:ascii="Arial" w:hAnsi="Arial" w:cs="Arial"/>
                <w:color w:val="6C6361"/>
                <w:sz w:val="24"/>
                <w:szCs w:val="24"/>
              </w:rPr>
              <w:t xml:space="preserve"> Chambers</w:t>
            </w:r>
          </w:p>
          <w:p w14:paraId="2E99A964" w14:textId="77777777" w:rsidR="00D2168A" w:rsidRPr="00D87ECF" w:rsidRDefault="00D2168A" w:rsidP="009B1687">
            <w:pPr>
              <w:jc w:val="center"/>
              <w:rPr>
                <w:rFonts w:ascii="Arial" w:hAnsi="Arial" w:cs="Arial"/>
                <w:color w:val="6C6361"/>
                <w:sz w:val="8"/>
                <w:szCs w:val="8"/>
              </w:rPr>
            </w:pPr>
          </w:p>
        </w:tc>
        <w:tc>
          <w:tcPr>
            <w:tcW w:w="5954" w:type="dxa"/>
            <w:shd w:val="clear" w:color="auto" w:fill="FFFFFF"/>
            <w:vAlign w:val="center"/>
          </w:tcPr>
          <w:p w14:paraId="58043300" w14:textId="77777777" w:rsidR="00D2168A" w:rsidRPr="00D50772" w:rsidRDefault="00D2168A" w:rsidP="009B1687">
            <w:pPr>
              <w:spacing w:line="276" w:lineRule="auto"/>
              <w:jc w:val="center"/>
              <w:rPr>
                <w:rFonts w:ascii="Arial" w:eastAsia="Times New Roman" w:hAnsi="Arial" w:cs="Arial"/>
                <w:noProof/>
                <w:sz w:val="20"/>
                <w:szCs w:val="20"/>
              </w:rPr>
            </w:pPr>
            <w:r>
              <w:rPr>
                <w:noProof/>
              </w:rPr>
              <w:drawing>
                <wp:anchor distT="0" distB="0" distL="114300" distR="114300" simplePos="0" relativeHeight="251659264" behindDoc="0" locked="0" layoutInCell="1" allowOverlap="1" wp14:anchorId="1CBBF7EB" wp14:editId="7222A5B2">
                  <wp:simplePos x="0" y="0"/>
                  <wp:positionH relativeFrom="column">
                    <wp:posOffset>3166745</wp:posOffset>
                  </wp:positionH>
                  <wp:positionV relativeFrom="paragraph">
                    <wp:posOffset>-474980</wp:posOffset>
                  </wp:positionV>
                  <wp:extent cx="539750" cy="539750"/>
                  <wp:effectExtent l="0" t="0" r="6350" b="6350"/>
                  <wp:wrapNone/>
                  <wp:docPr id="3" name="Graphic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63B87C3" wp14:editId="24D42579">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18EFAA8E" w14:textId="77777777" w:rsidR="00D2168A" w:rsidRPr="00741E33" w:rsidRDefault="00D2168A" w:rsidP="00D2168A">
      <w:pPr>
        <w:spacing w:line="276" w:lineRule="auto"/>
        <w:jc w:val="left"/>
        <w:rPr>
          <w:rFonts w:ascii="Arial" w:hAnsi="Arial" w:cs="Arial"/>
          <w:sz w:val="20"/>
          <w:szCs w:val="16"/>
        </w:rPr>
      </w:pPr>
    </w:p>
    <w:tbl>
      <w:tblPr>
        <w:tblW w:w="10773" w:type="dxa"/>
        <w:jc w:val="center"/>
        <w:tblLook w:val="04A0" w:firstRow="1" w:lastRow="0" w:firstColumn="1" w:lastColumn="0" w:noHBand="0" w:noVBand="1"/>
      </w:tblPr>
      <w:tblGrid>
        <w:gridCol w:w="1985"/>
        <w:gridCol w:w="8788"/>
      </w:tblGrid>
      <w:tr w:rsidR="00D2168A" w:rsidRPr="008B6943" w14:paraId="635EAC50" w14:textId="77777777" w:rsidTr="009B1687">
        <w:trPr>
          <w:trHeight w:val="2912"/>
          <w:jc w:val="center"/>
        </w:trPr>
        <w:tc>
          <w:tcPr>
            <w:tcW w:w="1985" w:type="dxa"/>
            <w:shd w:val="clear" w:color="auto" w:fill="FFFFFF"/>
            <w:vAlign w:val="center"/>
          </w:tcPr>
          <w:p w14:paraId="3D6ED557" w14:textId="77777777" w:rsidR="00D2168A" w:rsidRPr="008B6943" w:rsidRDefault="00D2168A" w:rsidP="009B1687">
            <w:pPr>
              <w:spacing w:line="276" w:lineRule="auto"/>
              <w:jc w:val="center"/>
              <w:rPr>
                <w:rFonts w:ascii="Arial" w:hAnsi="Arial" w:cs="Arial"/>
                <w:sz w:val="24"/>
                <w:szCs w:val="24"/>
              </w:rPr>
            </w:pPr>
            <w:r w:rsidRPr="008B6943">
              <w:rPr>
                <w:rFonts w:ascii="Arial" w:hAnsi="Arial" w:cs="Arial"/>
                <w:noProof/>
                <w:sz w:val="24"/>
                <w:szCs w:val="24"/>
              </w:rPr>
              <w:drawing>
                <wp:inline distT="0" distB="0" distL="0" distR="0" wp14:anchorId="79AE606E" wp14:editId="31B6551F">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a:hlinkClick r:id="rId8"/>
                          </pic:cNvPr>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14:paraId="5FFB3695" w14:textId="77777777" w:rsidR="00D2168A" w:rsidRPr="008B6943" w:rsidRDefault="00D2168A" w:rsidP="009B1687">
            <w:pPr>
              <w:rPr>
                <w:rFonts w:ascii="Arial" w:hAnsi="Arial" w:cs="Arial"/>
                <w:color w:val="6C6361"/>
                <w:sz w:val="24"/>
                <w:szCs w:val="24"/>
              </w:rPr>
            </w:pPr>
            <w:r w:rsidRPr="008B6943">
              <w:rPr>
                <w:rFonts w:ascii="Arial" w:hAnsi="Arial" w:cs="Arial"/>
                <w:color w:val="6C6361"/>
                <w:sz w:val="24"/>
                <w:szCs w:val="24"/>
              </w:rPr>
              <w:t xml:space="preserve">Sebastian Leung is a qualified barrister in Hong Kong who practices in the civil, criminal and family Courts, and has developed </w:t>
            </w:r>
            <w:proofErr w:type="spellStart"/>
            <w:r w:rsidRPr="008B6943">
              <w:rPr>
                <w:rFonts w:ascii="Arial" w:hAnsi="Arial" w:cs="Arial"/>
                <w:color w:val="6C6361"/>
                <w:sz w:val="24"/>
                <w:szCs w:val="24"/>
              </w:rPr>
              <w:t>specialisation</w:t>
            </w:r>
            <w:proofErr w:type="spellEnd"/>
            <w:r w:rsidRPr="008B6943">
              <w:rPr>
                <w:rFonts w:ascii="Arial" w:hAnsi="Arial" w:cs="Arial"/>
                <w:color w:val="6C6361"/>
                <w:sz w:val="24"/>
                <w:szCs w:val="24"/>
              </w:rPr>
              <w:t xml:space="preserve"> in matrimonial law. He has experience in a wide range of matrimonial matters from main suit, ancillary relief, children, and </w:t>
            </w:r>
            <w:proofErr w:type="gramStart"/>
            <w:r w:rsidRPr="008B6943">
              <w:rPr>
                <w:rFonts w:ascii="Arial" w:hAnsi="Arial" w:cs="Arial"/>
                <w:color w:val="6C6361"/>
                <w:sz w:val="24"/>
                <w:szCs w:val="24"/>
              </w:rPr>
              <w:t>third party</w:t>
            </w:r>
            <w:proofErr w:type="gramEnd"/>
            <w:r w:rsidRPr="008B6943">
              <w:rPr>
                <w:rFonts w:ascii="Arial" w:hAnsi="Arial" w:cs="Arial"/>
                <w:color w:val="6C6361"/>
                <w:sz w:val="24"/>
                <w:szCs w:val="24"/>
              </w:rPr>
              <w:t xml:space="preserve"> interest proceedings, to domestic violence injunctions, jurisdictional challenges, and contempt of court. He also frequently handles probate and trust cases. </w:t>
            </w:r>
          </w:p>
          <w:p w14:paraId="4369D303" w14:textId="77777777" w:rsidR="00D2168A" w:rsidRPr="008B6943" w:rsidRDefault="00D2168A" w:rsidP="009B1687">
            <w:pPr>
              <w:rPr>
                <w:rFonts w:ascii="Arial" w:hAnsi="Arial" w:cs="Arial"/>
                <w:color w:val="6C6361"/>
                <w:sz w:val="12"/>
                <w:szCs w:val="12"/>
              </w:rPr>
            </w:pPr>
          </w:p>
          <w:p w14:paraId="4DD0EE9C" w14:textId="77777777" w:rsidR="00D2168A" w:rsidRPr="008B6943" w:rsidRDefault="00D2168A" w:rsidP="009B1687">
            <w:pPr>
              <w:rPr>
                <w:rFonts w:ascii="Arial" w:hAnsi="Arial" w:cs="Arial"/>
                <w:color w:val="6C6361"/>
                <w:sz w:val="24"/>
                <w:szCs w:val="24"/>
              </w:rPr>
            </w:pPr>
            <w:r w:rsidRPr="008B6943">
              <w:rPr>
                <w:rFonts w:ascii="Arial" w:hAnsi="Arial" w:cs="Arial"/>
                <w:color w:val="6C6361"/>
                <w:sz w:val="24"/>
                <w:szCs w:val="24"/>
              </w:rPr>
              <w:t>In addition, Sebastian regularly gives CPD seminars and talks to solicitors on matrimonial, probate and civil matters both in-house and via CPD Course Providers.</w:t>
            </w:r>
          </w:p>
        </w:tc>
      </w:tr>
    </w:tbl>
    <w:p w14:paraId="42056A81" w14:textId="77777777" w:rsidR="00D2168A" w:rsidRPr="00741E33" w:rsidRDefault="00D2168A" w:rsidP="00D2168A">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10773"/>
      </w:tblGrid>
      <w:tr w:rsidR="00D2168A" w:rsidRPr="008B6943" w14:paraId="0A3F4FD9" w14:textId="77777777" w:rsidTr="009B1687">
        <w:trPr>
          <w:trHeight w:val="5268"/>
          <w:jc w:val="center"/>
        </w:trPr>
        <w:tc>
          <w:tcPr>
            <w:tcW w:w="10773" w:type="dxa"/>
            <w:tcBorders>
              <w:top w:val="nil"/>
              <w:bottom w:val="nil"/>
            </w:tcBorders>
            <w:shd w:val="clear" w:color="auto" w:fill="FFFFFF" w:themeFill="background1"/>
            <w:vAlign w:val="center"/>
          </w:tcPr>
          <w:p w14:paraId="64D3B0DA" w14:textId="77777777" w:rsidR="00D2168A" w:rsidRPr="008B6943" w:rsidRDefault="00D2168A" w:rsidP="009B1687">
            <w:pPr>
              <w:ind w:right="33"/>
              <w:rPr>
                <w:rFonts w:ascii="Arial" w:hAnsi="Arial" w:cs="Arial"/>
                <w:color w:val="6C6361"/>
                <w:sz w:val="24"/>
              </w:rPr>
            </w:pPr>
            <w:r w:rsidRPr="008B6943">
              <w:rPr>
                <w:rFonts w:ascii="Arial" w:hAnsi="Arial" w:cs="Arial"/>
                <w:color w:val="6C6361"/>
                <w:sz w:val="24"/>
              </w:rPr>
              <w:t xml:space="preserve">The majority of cases that come before the family courts will involve the division of matrimonial property. Each case presents their own difficulties for the Courts whose overriding aim is to ensure that each party to the marriage has enough resources to meet their needs upon the dissolution of the marriage. </w:t>
            </w:r>
          </w:p>
          <w:p w14:paraId="28347ACE" w14:textId="77777777" w:rsidR="00D2168A" w:rsidRPr="008B6943" w:rsidRDefault="00D2168A" w:rsidP="009B1687">
            <w:pPr>
              <w:ind w:right="33"/>
              <w:rPr>
                <w:rFonts w:ascii="Arial" w:hAnsi="Arial" w:cs="Arial"/>
                <w:color w:val="6C6361"/>
                <w:sz w:val="12"/>
                <w:szCs w:val="10"/>
              </w:rPr>
            </w:pPr>
          </w:p>
          <w:p w14:paraId="005801FD" w14:textId="77777777" w:rsidR="00D2168A" w:rsidRPr="008B6943" w:rsidRDefault="00D2168A" w:rsidP="009B1687">
            <w:pPr>
              <w:ind w:right="33"/>
              <w:rPr>
                <w:rFonts w:ascii="Arial" w:hAnsi="Arial" w:cs="Arial"/>
                <w:color w:val="6C6361"/>
                <w:sz w:val="24"/>
              </w:rPr>
            </w:pPr>
            <w:r w:rsidRPr="008B6943">
              <w:rPr>
                <w:rFonts w:ascii="Arial" w:hAnsi="Arial" w:cs="Arial"/>
                <w:color w:val="6C6361"/>
                <w:sz w:val="24"/>
              </w:rPr>
              <w:t>Ancillary relief is the remedy that the Courts can provide in respect of the financial provision upon the division of matrimonial property. The Court is bound by the factors set out in s.7 MPPO when exercising their discretion as to matrimonial property division, although the Courts have interpreted these factors differently over the years. Understanding these factors and the Court’s interpretations of these inter-relating factors will form a central part of this seminar.</w:t>
            </w:r>
          </w:p>
          <w:p w14:paraId="4B50EF85" w14:textId="77777777" w:rsidR="00D2168A" w:rsidRPr="008B6943" w:rsidRDefault="00D2168A" w:rsidP="009B1687">
            <w:pPr>
              <w:ind w:right="33"/>
              <w:rPr>
                <w:rFonts w:ascii="Arial" w:hAnsi="Arial" w:cs="Arial"/>
                <w:color w:val="6C6361"/>
                <w:sz w:val="12"/>
                <w:szCs w:val="10"/>
              </w:rPr>
            </w:pPr>
          </w:p>
          <w:p w14:paraId="7B01AC63" w14:textId="77777777" w:rsidR="00D2168A" w:rsidRPr="008B6943" w:rsidRDefault="00D2168A" w:rsidP="009B1687">
            <w:pPr>
              <w:ind w:right="33"/>
              <w:rPr>
                <w:rFonts w:ascii="Arial" w:hAnsi="Arial" w:cs="Arial"/>
                <w:color w:val="6C6361"/>
                <w:sz w:val="24"/>
              </w:rPr>
            </w:pPr>
            <w:r w:rsidRPr="008B6943">
              <w:rPr>
                <w:rFonts w:ascii="Arial" w:hAnsi="Arial" w:cs="Arial"/>
                <w:color w:val="6C6361"/>
                <w:sz w:val="24"/>
              </w:rPr>
              <w:t>This seminar will give participants a comprehensive guide to ancillary relief law in Hong Kong, in terms of both law and procedure, focusing on explaining the Court’s approach and considerations when faced with different stages of ancillary relief matters as well as a consideration of the procedural steps and important documents. For those unfamiliar with family law this will give you a solid baseline understanding of ancillary relief, and for those familiar with family law, in addition to a refresher on the relevant law and procedure an emphasis of this seminar will be devoted to the Court’s recent treatment of post-separation assets and pensions, two highly important but often less considered areas.</w:t>
            </w:r>
          </w:p>
        </w:tc>
      </w:tr>
    </w:tbl>
    <w:p w14:paraId="39E6F14D" w14:textId="77777777" w:rsidR="00D2168A" w:rsidRDefault="00D2168A" w:rsidP="00D2168A">
      <w:pPr>
        <w:spacing w:line="276" w:lineRule="auto"/>
        <w:rPr>
          <w:rFonts w:ascii="Arial" w:hAnsi="Arial" w:cs="Arial"/>
          <w:sz w:val="20"/>
          <w:szCs w:val="16"/>
        </w:rPr>
      </w:pPr>
    </w:p>
    <w:p w14:paraId="58CEB827" w14:textId="77777777" w:rsidR="00D2168A" w:rsidRDefault="00D2168A" w:rsidP="00D2168A">
      <w:pPr>
        <w:spacing w:line="276" w:lineRule="auto"/>
        <w:rPr>
          <w:sz w:val="20"/>
          <w:szCs w:val="16"/>
        </w:rPr>
      </w:pPr>
    </w:p>
    <w:p w14:paraId="0D7B9C71" w14:textId="77777777" w:rsidR="00D2168A" w:rsidRDefault="00D2168A" w:rsidP="00D2168A">
      <w:pPr>
        <w:spacing w:line="276" w:lineRule="auto"/>
        <w:rPr>
          <w:rFonts w:ascii="Arial" w:hAnsi="Arial" w:cs="Arial"/>
          <w:sz w:val="20"/>
          <w:szCs w:val="16"/>
        </w:rPr>
      </w:pPr>
    </w:p>
    <w:tbl>
      <w:tblPr>
        <w:tblW w:w="10773" w:type="dxa"/>
        <w:jc w:val="center"/>
        <w:tblBorders>
          <w:bottom w:val="single" w:sz="12" w:space="0" w:color="FFFFFF"/>
        </w:tblBorders>
        <w:tblLook w:val="04A0" w:firstRow="1" w:lastRow="0" w:firstColumn="1" w:lastColumn="0" w:noHBand="0" w:noVBand="1"/>
      </w:tblPr>
      <w:tblGrid>
        <w:gridCol w:w="10773"/>
      </w:tblGrid>
      <w:tr w:rsidR="00D2168A" w:rsidRPr="00741E33" w14:paraId="19DF238D" w14:textId="77777777" w:rsidTr="009B1687">
        <w:trPr>
          <w:trHeight w:val="397"/>
          <w:jc w:val="center"/>
        </w:trPr>
        <w:tc>
          <w:tcPr>
            <w:tcW w:w="10773" w:type="dxa"/>
            <w:tcBorders>
              <w:top w:val="nil"/>
              <w:bottom w:val="nil"/>
            </w:tcBorders>
            <w:shd w:val="clear" w:color="auto" w:fill="F0EBE1"/>
            <w:vAlign w:val="center"/>
          </w:tcPr>
          <w:p w14:paraId="5A2D6095" w14:textId="77777777" w:rsidR="00D2168A" w:rsidRPr="00741E33" w:rsidRDefault="00D2168A" w:rsidP="009B1687">
            <w:pPr>
              <w:rPr>
                <w:rFonts w:ascii="Arial" w:hAnsi="Arial" w:cs="Arial"/>
                <w:b/>
                <w:color w:val="524B48"/>
                <w:szCs w:val="20"/>
              </w:rPr>
            </w:pPr>
            <w:r w:rsidRPr="008B6943">
              <w:rPr>
                <w:rFonts w:ascii="Arial" w:hAnsi="Arial" w:cs="Arial"/>
                <w:b/>
                <w:color w:val="524B48"/>
                <w:szCs w:val="20"/>
              </w:rPr>
              <w:lastRenderedPageBreak/>
              <w:t>Points to be Covered</w:t>
            </w:r>
          </w:p>
        </w:tc>
      </w:tr>
      <w:tr w:rsidR="00D2168A" w:rsidRPr="00741E33" w14:paraId="13C8E312" w14:textId="77777777" w:rsidTr="009B1687">
        <w:trPr>
          <w:trHeight w:val="8950"/>
          <w:jc w:val="center"/>
        </w:trPr>
        <w:tc>
          <w:tcPr>
            <w:tcW w:w="10773" w:type="dxa"/>
            <w:tcBorders>
              <w:top w:val="nil"/>
              <w:bottom w:val="nil"/>
            </w:tcBorders>
            <w:shd w:val="clear" w:color="auto" w:fill="FFFFFF"/>
            <w:vAlign w:val="center"/>
          </w:tcPr>
          <w:p w14:paraId="20638F86" w14:textId="77777777" w:rsidR="00D2168A" w:rsidRPr="008B6943" w:rsidRDefault="00D2168A" w:rsidP="009B1687">
            <w:pPr>
              <w:pStyle w:val="ListParagraph"/>
              <w:numPr>
                <w:ilvl w:val="0"/>
                <w:numId w:val="2"/>
              </w:numPr>
              <w:ind w:right="-108"/>
              <w:rPr>
                <w:rFonts w:ascii="Arial" w:hAnsi="Arial" w:cs="Arial"/>
                <w:color w:val="6C6361"/>
                <w:szCs w:val="20"/>
              </w:rPr>
            </w:pPr>
            <w:r w:rsidRPr="008B6943">
              <w:rPr>
                <w:rFonts w:ascii="Arial" w:hAnsi="Arial" w:cs="Arial"/>
                <w:color w:val="6C6361"/>
                <w:szCs w:val="20"/>
              </w:rPr>
              <w:t>Relevant Legislation</w:t>
            </w:r>
          </w:p>
          <w:p w14:paraId="2685BD1B" w14:textId="77777777" w:rsidR="00D2168A" w:rsidRPr="008B6943" w:rsidRDefault="00D2168A" w:rsidP="009B1687">
            <w:pPr>
              <w:pStyle w:val="ListParagraph"/>
              <w:numPr>
                <w:ilvl w:val="0"/>
                <w:numId w:val="2"/>
              </w:numPr>
              <w:ind w:right="-108"/>
              <w:rPr>
                <w:rFonts w:ascii="Arial" w:hAnsi="Arial" w:cs="Arial"/>
                <w:color w:val="6C6361"/>
                <w:szCs w:val="20"/>
              </w:rPr>
            </w:pPr>
            <w:r w:rsidRPr="008B6943">
              <w:rPr>
                <w:rFonts w:ascii="Arial" w:hAnsi="Arial" w:cs="Arial"/>
                <w:color w:val="6C6361"/>
                <w:szCs w:val="20"/>
              </w:rPr>
              <w:t>Stages in Ancillary Relief proceedings</w:t>
            </w:r>
          </w:p>
          <w:p w14:paraId="73B47BD6" w14:textId="77777777" w:rsidR="00D2168A" w:rsidRPr="008B6943" w:rsidRDefault="00D2168A" w:rsidP="009B1687">
            <w:pPr>
              <w:pStyle w:val="ListParagraph"/>
              <w:numPr>
                <w:ilvl w:val="0"/>
                <w:numId w:val="2"/>
              </w:numPr>
              <w:ind w:right="-108"/>
              <w:rPr>
                <w:rFonts w:ascii="Arial" w:hAnsi="Arial" w:cs="Arial"/>
                <w:color w:val="6C6361"/>
                <w:szCs w:val="20"/>
              </w:rPr>
            </w:pPr>
            <w:r w:rsidRPr="008B6943">
              <w:rPr>
                <w:rFonts w:ascii="Arial" w:hAnsi="Arial" w:cs="Arial"/>
                <w:color w:val="6C6361"/>
                <w:szCs w:val="20"/>
              </w:rPr>
              <w:t xml:space="preserve">Available Orders under </w:t>
            </w:r>
            <w:r w:rsidRPr="00AC6A57">
              <w:rPr>
                <w:rFonts w:ascii="Arial" w:hAnsi="Arial" w:cs="Arial"/>
                <w:color w:val="6C6361"/>
                <w:szCs w:val="20"/>
              </w:rPr>
              <w:t xml:space="preserve">Cap. 192 Matrimonial Proceedings and Property Ordinance </w:t>
            </w:r>
            <w:r>
              <w:rPr>
                <w:rFonts w:ascii="Arial" w:hAnsi="Arial" w:cs="Arial"/>
                <w:color w:val="6C6361"/>
                <w:szCs w:val="20"/>
              </w:rPr>
              <w:t>(</w:t>
            </w:r>
            <w:r w:rsidRPr="008B6943">
              <w:rPr>
                <w:rFonts w:ascii="Arial" w:hAnsi="Arial" w:cs="Arial"/>
                <w:color w:val="6C6361"/>
                <w:szCs w:val="20"/>
              </w:rPr>
              <w:t>MPPO</w:t>
            </w:r>
            <w:r>
              <w:rPr>
                <w:rFonts w:ascii="Arial" w:hAnsi="Arial" w:cs="Arial"/>
                <w:color w:val="6C6361"/>
                <w:szCs w:val="20"/>
              </w:rPr>
              <w:t>)</w:t>
            </w:r>
          </w:p>
          <w:p w14:paraId="6DFFC86F" w14:textId="77777777" w:rsidR="00D2168A" w:rsidRPr="008B6943" w:rsidRDefault="00D2168A" w:rsidP="009B1687">
            <w:pPr>
              <w:pStyle w:val="ListParagraph"/>
              <w:numPr>
                <w:ilvl w:val="0"/>
                <w:numId w:val="2"/>
              </w:numPr>
              <w:ind w:right="-108"/>
              <w:rPr>
                <w:rFonts w:ascii="Arial" w:hAnsi="Arial" w:cs="Arial"/>
                <w:color w:val="6C6361"/>
                <w:szCs w:val="20"/>
              </w:rPr>
            </w:pPr>
            <w:r w:rsidRPr="008B6943">
              <w:rPr>
                <w:rFonts w:ascii="Arial" w:hAnsi="Arial" w:cs="Arial"/>
                <w:color w:val="6C6361"/>
                <w:szCs w:val="20"/>
              </w:rPr>
              <w:t>Factors under s.7 MPPO</w:t>
            </w:r>
          </w:p>
          <w:p w14:paraId="08B948BB" w14:textId="77777777" w:rsidR="00D2168A" w:rsidRDefault="00D2168A" w:rsidP="009B1687">
            <w:pPr>
              <w:pStyle w:val="ListParagraph"/>
              <w:numPr>
                <w:ilvl w:val="1"/>
                <w:numId w:val="2"/>
              </w:numPr>
              <w:ind w:right="-108"/>
              <w:rPr>
                <w:rFonts w:ascii="Arial" w:hAnsi="Arial" w:cs="Arial"/>
                <w:color w:val="6C6361"/>
                <w:szCs w:val="20"/>
              </w:rPr>
            </w:pPr>
            <w:r w:rsidRPr="008B6943">
              <w:rPr>
                <w:rFonts w:ascii="Arial" w:hAnsi="Arial" w:cs="Arial"/>
                <w:color w:val="6C6361"/>
                <w:szCs w:val="20"/>
              </w:rPr>
              <w:t>All the circumstances of the case</w:t>
            </w:r>
          </w:p>
          <w:p w14:paraId="4727F1E5" w14:textId="77777777" w:rsidR="00D2168A" w:rsidRDefault="00D2168A" w:rsidP="009B1687">
            <w:pPr>
              <w:pStyle w:val="ListParagraph"/>
              <w:numPr>
                <w:ilvl w:val="1"/>
                <w:numId w:val="2"/>
              </w:numPr>
              <w:ind w:right="-108"/>
              <w:rPr>
                <w:rFonts w:ascii="Arial" w:hAnsi="Arial" w:cs="Arial"/>
                <w:color w:val="6C6361"/>
                <w:szCs w:val="20"/>
              </w:rPr>
            </w:pPr>
            <w:r w:rsidRPr="008B6943">
              <w:rPr>
                <w:rFonts w:ascii="Arial" w:hAnsi="Arial" w:cs="Arial"/>
                <w:color w:val="6C6361"/>
                <w:szCs w:val="20"/>
              </w:rPr>
              <w:t>Conduct of the parties</w:t>
            </w:r>
          </w:p>
          <w:p w14:paraId="6277AE5D" w14:textId="77777777" w:rsidR="00D2168A" w:rsidRDefault="00D2168A" w:rsidP="009B1687">
            <w:pPr>
              <w:pStyle w:val="ListParagraph"/>
              <w:numPr>
                <w:ilvl w:val="1"/>
                <w:numId w:val="2"/>
              </w:numPr>
              <w:ind w:right="-108"/>
              <w:rPr>
                <w:rFonts w:ascii="Arial" w:hAnsi="Arial" w:cs="Arial"/>
                <w:color w:val="6C6361"/>
                <w:szCs w:val="20"/>
              </w:rPr>
            </w:pPr>
            <w:r w:rsidRPr="008B6943">
              <w:rPr>
                <w:rFonts w:ascii="Arial" w:hAnsi="Arial" w:cs="Arial"/>
                <w:color w:val="6C6361"/>
                <w:szCs w:val="20"/>
              </w:rPr>
              <w:t>Financial resources</w:t>
            </w:r>
          </w:p>
          <w:p w14:paraId="24690D43" w14:textId="77777777" w:rsidR="00D2168A" w:rsidRDefault="00D2168A" w:rsidP="009B1687">
            <w:pPr>
              <w:pStyle w:val="ListParagraph"/>
              <w:numPr>
                <w:ilvl w:val="1"/>
                <w:numId w:val="2"/>
              </w:numPr>
              <w:ind w:right="-108"/>
              <w:rPr>
                <w:rFonts w:ascii="Arial" w:hAnsi="Arial" w:cs="Arial"/>
                <w:color w:val="6C6361"/>
                <w:szCs w:val="20"/>
              </w:rPr>
            </w:pPr>
            <w:r w:rsidRPr="00AC6A57">
              <w:rPr>
                <w:rFonts w:ascii="Arial" w:hAnsi="Arial" w:cs="Arial"/>
                <w:color w:val="6C6361"/>
                <w:szCs w:val="20"/>
              </w:rPr>
              <w:t>Income earning capacity</w:t>
            </w:r>
          </w:p>
          <w:p w14:paraId="6D2E9742" w14:textId="77777777" w:rsidR="00D2168A" w:rsidRDefault="00D2168A" w:rsidP="009B1687">
            <w:pPr>
              <w:pStyle w:val="ListParagraph"/>
              <w:numPr>
                <w:ilvl w:val="1"/>
                <w:numId w:val="2"/>
              </w:numPr>
              <w:ind w:right="-108"/>
              <w:rPr>
                <w:rFonts w:ascii="Arial" w:hAnsi="Arial" w:cs="Arial"/>
                <w:color w:val="6C6361"/>
                <w:szCs w:val="20"/>
              </w:rPr>
            </w:pPr>
            <w:r w:rsidRPr="00AC6A57">
              <w:rPr>
                <w:rFonts w:ascii="Arial" w:hAnsi="Arial" w:cs="Arial"/>
                <w:color w:val="6C6361"/>
                <w:szCs w:val="20"/>
              </w:rPr>
              <w:t>Property and other financial resources</w:t>
            </w:r>
          </w:p>
          <w:p w14:paraId="2F6DA99A" w14:textId="77777777" w:rsidR="00D2168A" w:rsidRDefault="00D2168A" w:rsidP="009B1687">
            <w:pPr>
              <w:pStyle w:val="ListParagraph"/>
              <w:numPr>
                <w:ilvl w:val="1"/>
                <w:numId w:val="2"/>
              </w:numPr>
              <w:ind w:right="-108"/>
              <w:rPr>
                <w:rFonts w:ascii="Arial" w:hAnsi="Arial" w:cs="Arial"/>
                <w:color w:val="6C6361"/>
                <w:szCs w:val="20"/>
              </w:rPr>
            </w:pPr>
            <w:r w:rsidRPr="00AC6A57">
              <w:rPr>
                <w:rFonts w:ascii="Arial" w:hAnsi="Arial" w:cs="Arial"/>
                <w:color w:val="6C6361"/>
                <w:szCs w:val="20"/>
              </w:rPr>
              <w:t>Bonuses and Inheritances</w:t>
            </w:r>
          </w:p>
          <w:p w14:paraId="1D103EB5" w14:textId="77777777" w:rsidR="00D2168A" w:rsidRDefault="00D2168A" w:rsidP="009B1687">
            <w:pPr>
              <w:pStyle w:val="ListParagraph"/>
              <w:numPr>
                <w:ilvl w:val="1"/>
                <w:numId w:val="2"/>
              </w:numPr>
              <w:ind w:right="-108"/>
              <w:rPr>
                <w:rFonts w:ascii="Arial" w:hAnsi="Arial" w:cs="Arial"/>
                <w:color w:val="6C6361"/>
                <w:szCs w:val="20"/>
              </w:rPr>
            </w:pPr>
            <w:r w:rsidRPr="00AC6A57">
              <w:rPr>
                <w:rFonts w:ascii="Arial" w:hAnsi="Arial" w:cs="Arial"/>
                <w:color w:val="6C6361"/>
                <w:szCs w:val="20"/>
              </w:rPr>
              <w:t>Needs, obligations and responsibilities</w:t>
            </w:r>
          </w:p>
          <w:p w14:paraId="13425D5B" w14:textId="77777777" w:rsidR="00D2168A" w:rsidRDefault="00D2168A" w:rsidP="009B1687">
            <w:pPr>
              <w:pStyle w:val="ListParagraph"/>
              <w:numPr>
                <w:ilvl w:val="1"/>
                <w:numId w:val="2"/>
              </w:numPr>
              <w:ind w:right="-108"/>
              <w:rPr>
                <w:rFonts w:ascii="Arial" w:hAnsi="Arial" w:cs="Arial"/>
                <w:color w:val="6C6361"/>
                <w:szCs w:val="20"/>
              </w:rPr>
            </w:pPr>
            <w:r w:rsidRPr="00AC6A57">
              <w:rPr>
                <w:rFonts w:ascii="Arial" w:hAnsi="Arial" w:cs="Arial"/>
                <w:color w:val="6C6361"/>
                <w:szCs w:val="20"/>
              </w:rPr>
              <w:t>Standard of living</w:t>
            </w:r>
          </w:p>
          <w:p w14:paraId="740416FD" w14:textId="77777777" w:rsidR="00D2168A" w:rsidRDefault="00D2168A" w:rsidP="009B1687">
            <w:pPr>
              <w:pStyle w:val="ListParagraph"/>
              <w:numPr>
                <w:ilvl w:val="1"/>
                <w:numId w:val="2"/>
              </w:numPr>
              <w:ind w:right="-108"/>
              <w:rPr>
                <w:rFonts w:ascii="Arial" w:hAnsi="Arial" w:cs="Arial"/>
                <w:color w:val="6C6361"/>
                <w:szCs w:val="20"/>
              </w:rPr>
            </w:pPr>
            <w:r w:rsidRPr="00AC6A57">
              <w:rPr>
                <w:rFonts w:ascii="Arial" w:hAnsi="Arial" w:cs="Arial"/>
                <w:color w:val="6C6361"/>
                <w:szCs w:val="20"/>
              </w:rPr>
              <w:t>Age</w:t>
            </w:r>
          </w:p>
          <w:p w14:paraId="5BF2EB2F" w14:textId="77777777" w:rsidR="00D2168A" w:rsidRDefault="00D2168A" w:rsidP="009B1687">
            <w:pPr>
              <w:pStyle w:val="ListParagraph"/>
              <w:numPr>
                <w:ilvl w:val="1"/>
                <w:numId w:val="2"/>
              </w:numPr>
              <w:ind w:right="-108"/>
              <w:rPr>
                <w:rFonts w:ascii="Arial" w:hAnsi="Arial" w:cs="Arial"/>
                <w:color w:val="6C6361"/>
                <w:szCs w:val="20"/>
              </w:rPr>
            </w:pPr>
            <w:r w:rsidRPr="00AC6A57">
              <w:rPr>
                <w:rFonts w:ascii="Arial" w:hAnsi="Arial" w:cs="Arial"/>
                <w:color w:val="6C6361"/>
                <w:szCs w:val="20"/>
              </w:rPr>
              <w:t>Duration of marriage</w:t>
            </w:r>
          </w:p>
          <w:p w14:paraId="11354CE8" w14:textId="77777777" w:rsidR="00D2168A" w:rsidRDefault="00D2168A" w:rsidP="009B1687">
            <w:pPr>
              <w:pStyle w:val="ListParagraph"/>
              <w:numPr>
                <w:ilvl w:val="1"/>
                <w:numId w:val="2"/>
              </w:numPr>
              <w:ind w:right="-108"/>
              <w:rPr>
                <w:rFonts w:ascii="Arial" w:hAnsi="Arial" w:cs="Arial"/>
                <w:color w:val="6C6361"/>
                <w:szCs w:val="20"/>
              </w:rPr>
            </w:pPr>
            <w:r w:rsidRPr="00AC6A57">
              <w:rPr>
                <w:rFonts w:ascii="Arial" w:hAnsi="Arial" w:cs="Arial"/>
                <w:color w:val="6C6361"/>
                <w:szCs w:val="20"/>
              </w:rPr>
              <w:t>Cohabitation</w:t>
            </w:r>
          </w:p>
          <w:p w14:paraId="44D42A29" w14:textId="77777777" w:rsidR="00D2168A" w:rsidRDefault="00D2168A" w:rsidP="009B1687">
            <w:pPr>
              <w:pStyle w:val="ListParagraph"/>
              <w:numPr>
                <w:ilvl w:val="1"/>
                <w:numId w:val="2"/>
              </w:numPr>
              <w:ind w:right="-108"/>
              <w:rPr>
                <w:rFonts w:ascii="Arial" w:hAnsi="Arial" w:cs="Arial"/>
                <w:color w:val="6C6361"/>
                <w:szCs w:val="20"/>
              </w:rPr>
            </w:pPr>
            <w:r w:rsidRPr="00AC6A57">
              <w:rPr>
                <w:rFonts w:ascii="Arial" w:hAnsi="Arial" w:cs="Arial"/>
                <w:color w:val="6C6361"/>
                <w:szCs w:val="20"/>
              </w:rPr>
              <w:t>Physical and mental disability</w:t>
            </w:r>
          </w:p>
          <w:p w14:paraId="1A62447C" w14:textId="77777777" w:rsidR="00D2168A" w:rsidRDefault="00D2168A" w:rsidP="009B1687">
            <w:pPr>
              <w:pStyle w:val="ListParagraph"/>
              <w:numPr>
                <w:ilvl w:val="1"/>
                <w:numId w:val="2"/>
              </w:numPr>
              <w:ind w:right="-108"/>
              <w:rPr>
                <w:rFonts w:ascii="Arial" w:hAnsi="Arial" w:cs="Arial"/>
                <w:color w:val="6C6361"/>
                <w:szCs w:val="20"/>
              </w:rPr>
            </w:pPr>
            <w:r w:rsidRPr="00AC6A57">
              <w:rPr>
                <w:rFonts w:ascii="Arial" w:hAnsi="Arial" w:cs="Arial"/>
                <w:color w:val="6C6361"/>
                <w:szCs w:val="20"/>
              </w:rPr>
              <w:t>Non-financial contribution</w:t>
            </w:r>
          </w:p>
          <w:p w14:paraId="46E9F781" w14:textId="77777777" w:rsidR="00D2168A" w:rsidRDefault="00D2168A" w:rsidP="009B1687">
            <w:pPr>
              <w:pStyle w:val="ListParagraph"/>
              <w:numPr>
                <w:ilvl w:val="1"/>
                <w:numId w:val="2"/>
              </w:numPr>
              <w:ind w:right="-108"/>
              <w:rPr>
                <w:rFonts w:ascii="Arial" w:hAnsi="Arial" w:cs="Arial"/>
                <w:color w:val="6C6361"/>
                <w:szCs w:val="20"/>
              </w:rPr>
            </w:pPr>
            <w:r w:rsidRPr="00AC6A57">
              <w:rPr>
                <w:rFonts w:ascii="Arial" w:hAnsi="Arial" w:cs="Arial"/>
                <w:color w:val="6C6361"/>
                <w:szCs w:val="20"/>
              </w:rPr>
              <w:t>Contribution</w:t>
            </w:r>
          </w:p>
          <w:p w14:paraId="18C8DB05" w14:textId="77777777" w:rsidR="00D2168A" w:rsidRPr="00AC6A57" w:rsidRDefault="00D2168A" w:rsidP="009B1687">
            <w:pPr>
              <w:pStyle w:val="ListParagraph"/>
              <w:numPr>
                <w:ilvl w:val="1"/>
                <w:numId w:val="2"/>
              </w:numPr>
              <w:ind w:right="-108"/>
              <w:rPr>
                <w:rFonts w:ascii="Arial" w:hAnsi="Arial" w:cs="Arial"/>
                <w:color w:val="6C6361"/>
                <w:szCs w:val="20"/>
              </w:rPr>
            </w:pPr>
            <w:r w:rsidRPr="00AC6A57">
              <w:rPr>
                <w:rFonts w:ascii="Arial" w:hAnsi="Arial" w:cs="Arial"/>
                <w:color w:val="6C6361"/>
                <w:szCs w:val="20"/>
              </w:rPr>
              <w:t xml:space="preserve">Compensation </w:t>
            </w:r>
          </w:p>
          <w:p w14:paraId="6C870968" w14:textId="77777777" w:rsidR="00D2168A" w:rsidRPr="008B6943" w:rsidRDefault="00D2168A" w:rsidP="009B1687">
            <w:pPr>
              <w:pStyle w:val="ListParagraph"/>
              <w:numPr>
                <w:ilvl w:val="0"/>
                <w:numId w:val="2"/>
              </w:numPr>
              <w:ind w:right="-108"/>
              <w:rPr>
                <w:rFonts w:ascii="Arial" w:hAnsi="Arial" w:cs="Arial"/>
                <w:color w:val="6C6361"/>
                <w:szCs w:val="20"/>
              </w:rPr>
            </w:pPr>
            <w:r w:rsidRPr="008B6943">
              <w:rPr>
                <w:rFonts w:ascii="Arial" w:hAnsi="Arial" w:cs="Arial"/>
                <w:color w:val="6C6361"/>
                <w:szCs w:val="20"/>
              </w:rPr>
              <w:t>Legal Principles in maintenance pending suit and litigation cost funding</w:t>
            </w:r>
          </w:p>
          <w:p w14:paraId="1380DCA3" w14:textId="77777777" w:rsidR="00D2168A" w:rsidRDefault="00D2168A" w:rsidP="009B1687">
            <w:pPr>
              <w:pStyle w:val="ListParagraph"/>
              <w:numPr>
                <w:ilvl w:val="0"/>
                <w:numId w:val="2"/>
              </w:numPr>
              <w:ind w:right="-108"/>
              <w:rPr>
                <w:rFonts w:ascii="Arial" w:hAnsi="Arial" w:cs="Arial"/>
                <w:color w:val="6C6361"/>
                <w:szCs w:val="20"/>
              </w:rPr>
            </w:pPr>
            <w:r w:rsidRPr="008B6943">
              <w:rPr>
                <w:rFonts w:ascii="Arial" w:hAnsi="Arial" w:cs="Arial"/>
                <w:color w:val="6C6361"/>
                <w:szCs w:val="20"/>
              </w:rPr>
              <w:t>Key UK Cases</w:t>
            </w:r>
          </w:p>
          <w:p w14:paraId="519D0473" w14:textId="77777777" w:rsidR="00D2168A" w:rsidRDefault="00D2168A" w:rsidP="009B1687">
            <w:pPr>
              <w:pStyle w:val="ListParagraph"/>
              <w:numPr>
                <w:ilvl w:val="1"/>
                <w:numId w:val="2"/>
              </w:numPr>
              <w:ind w:right="-108"/>
              <w:rPr>
                <w:rFonts w:ascii="Arial" w:hAnsi="Arial" w:cs="Arial"/>
                <w:color w:val="6C6361"/>
                <w:szCs w:val="20"/>
              </w:rPr>
            </w:pPr>
            <w:r w:rsidRPr="00AC6A57">
              <w:rPr>
                <w:rFonts w:ascii="Arial" w:hAnsi="Arial" w:cs="Arial"/>
                <w:color w:val="6C6361"/>
                <w:szCs w:val="20"/>
              </w:rPr>
              <w:t>White v White</w:t>
            </w:r>
          </w:p>
          <w:p w14:paraId="0FC08234" w14:textId="77777777" w:rsidR="00D2168A" w:rsidRPr="00AC6A57" w:rsidRDefault="00D2168A" w:rsidP="009B1687">
            <w:pPr>
              <w:pStyle w:val="ListParagraph"/>
              <w:numPr>
                <w:ilvl w:val="1"/>
                <w:numId w:val="2"/>
              </w:numPr>
              <w:ind w:right="-108"/>
              <w:rPr>
                <w:rFonts w:ascii="Arial" w:hAnsi="Arial" w:cs="Arial"/>
                <w:color w:val="6C6361"/>
                <w:szCs w:val="20"/>
              </w:rPr>
            </w:pPr>
            <w:r w:rsidRPr="00AC6A57">
              <w:rPr>
                <w:rFonts w:ascii="Arial" w:hAnsi="Arial" w:cs="Arial"/>
                <w:color w:val="6C6361"/>
                <w:szCs w:val="20"/>
              </w:rPr>
              <w:t>Miller v Miller/McFarlane v McFarlane</w:t>
            </w:r>
          </w:p>
          <w:p w14:paraId="674FB0DF" w14:textId="77777777" w:rsidR="00D2168A" w:rsidRPr="008B6943" w:rsidRDefault="00D2168A" w:rsidP="009B1687">
            <w:pPr>
              <w:pStyle w:val="ListParagraph"/>
              <w:numPr>
                <w:ilvl w:val="0"/>
                <w:numId w:val="2"/>
              </w:numPr>
              <w:ind w:right="-108"/>
              <w:rPr>
                <w:rFonts w:ascii="Arial" w:hAnsi="Arial" w:cs="Arial"/>
                <w:color w:val="6C6361"/>
                <w:szCs w:val="20"/>
              </w:rPr>
            </w:pPr>
            <w:r w:rsidRPr="008B6943">
              <w:rPr>
                <w:rFonts w:ascii="Arial" w:hAnsi="Arial" w:cs="Arial"/>
                <w:color w:val="6C6361"/>
                <w:szCs w:val="20"/>
              </w:rPr>
              <w:t xml:space="preserve">Case Law Development </w:t>
            </w:r>
          </w:p>
          <w:p w14:paraId="77414CC0" w14:textId="77777777" w:rsidR="00D2168A" w:rsidRDefault="00D2168A" w:rsidP="009B1687">
            <w:pPr>
              <w:pStyle w:val="ListParagraph"/>
              <w:numPr>
                <w:ilvl w:val="0"/>
                <w:numId w:val="2"/>
              </w:numPr>
              <w:ind w:right="-108"/>
              <w:rPr>
                <w:rFonts w:ascii="Arial" w:hAnsi="Arial" w:cs="Arial"/>
                <w:color w:val="6C6361"/>
                <w:szCs w:val="20"/>
              </w:rPr>
            </w:pPr>
            <w:r w:rsidRPr="008B6943">
              <w:rPr>
                <w:rFonts w:ascii="Arial" w:hAnsi="Arial" w:cs="Arial"/>
                <w:color w:val="6C6361"/>
                <w:szCs w:val="20"/>
              </w:rPr>
              <w:t>LKW v DD</w:t>
            </w:r>
          </w:p>
          <w:p w14:paraId="1F2A579D" w14:textId="77777777" w:rsidR="00D2168A" w:rsidRDefault="00D2168A" w:rsidP="009B1687">
            <w:pPr>
              <w:pStyle w:val="ListParagraph"/>
              <w:numPr>
                <w:ilvl w:val="1"/>
                <w:numId w:val="2"/>
              </w:numPr>
              <w:ind w:right="-108"/>
              <w:rPr>
                <w:rFonts w:ascii="Arial" w:hAnsi="Arial" w:cs="Arial"/>
                <w:color w:val="6C6361"/>
                <w:szCs w:val="20"/>
              </w:rPr>
            </w:pPr>
            <w:r w:rsidRPr="00AC6A57">
              <w:rPr>
                <w:rFonts w:ascii="Arial" w:hAnsi="Arial" w:cs="Arial"/>
                <w:color w:val="6C6361"/>
                <w:szCs w:val="20"/>
              </w:rPr>
              <w:t>4 Guidelines</w:t>
            </w:r>
          </w:p>
          <w:p w14:paraId="366FF13C" w14:textId="77777777" w:rsidR="00D2168A" w:rsidRDefault="00D2168A" w:rsidP="009B1687">
            <w:pPr>
              <w:pStyle w:val="ListParagraph"/>
              <w:numPr>
                <w:ilvl w:val="1"/>
                <w:numId w:val="2"/>
              </w:numPr>
              <w:ind w:right="-108"/>
              <w:rPr>
                <w:rFonts w:ascii="Arial" w:hAnsi="Arial" w:cs="Arial"/>
                <w:color w:val="6C6361"/>
                <w:szCs w:val="20"/>
              </w:rPr>
            </w:pPr>
            <w:r>
              <w:rPr>
                <w:noProof/>
              </w:rPr>
              <w:drawing>
                <wp:anchor distT="0" distB="0" distL="114300" distR="114300" simplePos="0" relativeHeight="251660288" behindDoc="0" locked="0" layoutInCell="1" allowOverlap="0" wp14:anchorId="3AEC5529" wp14:editId="178BEA00">
                  <wp:simplePos x="0" y="0"/>
                  <wp:positionH relativeFrom="column">
                    <wp:posOffset>5768975</wp:posOffset>
                  </wp:positionH>
                  <wp:positionV relativeFrom="paragraph">
                    <wp:posOffset>77470</wp:posOffset>
                  </wp:positionV>
                  <wp:extent cx="890905" cy="1019175"/>
                  <wp:effectExtent l="0" t="0" r="0" b="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0905" cy="1019175"/>
                          </a:xfrm>
                          <a:prstGeom prst="rect">
                            <a:avLst/>
                          </a:prstGeom>
                        </pic:spPr>
                      </pic:pic>
                    </a:graphicData>
                  </a:graphic>
                  <wp14:sizeRelH relativeFrom="margin">
                    <wp14:pctWidth>0</wp14:pctWidth>
                  </wp14:sizeRelH>
                  <wp14:sizeRelV relativeFrom="margin">
                    <wp14:pctHeight>0</wp14:pctHeight>
                  </wp14:sizeRelV>
                </wp:anchor>
              </w:drawing>
            </w:r>
            <w:r w:rsidRPr="00AC6A57">
              <w:rPr>
                <w:rFonts w:ascii="Arial" w:hAnsi="Arial" w:cs="Arial"/>
                <w:color w:val="6C6361"/>
                <w:szCs w:val="20"/>
              </w:rPr>
              <w:t>5 Steps Approach</w:t>
            </w:r>
          </w:p>
          <w:p w14:paraId="7F866468" w14:textId="77777777" w:rsidR="00D2168A" w:rsidRPr="00AC6A57" w:rsidRDefault="00D2168A" w:rsidP="009B1687">
            <w:pPr>
              <w:pStyle w:val="ListParagraph"/>
              <w:numPr>
                <w:ilvl w:val="1"/>
                <w:numId w:val="2"/>
              </w:numPr>
              <w:ind w:right="-108"/>
              <w:rPr>
                <w:rFonts w:ascii="Arial" w:hAnsi="Arial" w:cs="Arial"/>
                <w:color w:val="6C6361"/>
                <w:szCs w:val="20"/>
              </w:rPr>
            </w:pPr>
            <w:r w:rsidRPr="00AC6A57">
              <w:rPr>
                <w:rFonts w:ascii="Arial" w:hAnsi="Arial" w:cs="Arial"/>
                <w:color w:val="6C6361"/>
                <w:szCs w:val="20"/>
              </w:rPr>
              <w:t>Factors to consider</w:t>
            </w:r>
          </w:p>
          <w:p w14:paraId="61C6F346" w14:textId="77777777" w:rsidR="00D2168A" w:rsidRPr="008B6943" w:rsidRDefault="00D2168A" w:rsidP="009B1687">
            <w:pPr>
              <w:pStyle w:val="ListParagraph"/>
              <w:numPr>
                <w:ilvl w:val="0"/>
                <w:numId w:val="2"/>
              </w:numPr>
              <w:ind w:right="-108"/>
              <w:rPr>
                <w:rFonts w:ascii="Arial" w:hAnsi="Arial" w:cs="Arial"/>
                <w:color w:val="6C6361"/>
                <w:szCs w:val="20"/>
              </w:rPr>
            </w:pPr>
            <w:r w:rsidRPr="008B6943">
              <w:rPr>
                <w:rFonts w:ascii="Arial" w:hAnsi="Arial" w:cs="Arial"/>
                <w:color w:val="6C6361"/>
                <w:szCs w:val="20"/>
              </w:rPr>
              <w:t>Clean break principle</w:t>
            </w:r>
          </w:p>
          <w:p w14:paraId="286FAA42" w14:textId="77777777" w:rsidR="00D2168A" w:rsidRPr="008B6943" w:rsidRDefault="00D2168A" w:rsidP="009B1687">
            <w:pPr>
              <w:pStyle w:val="ListParagraph"/>
              <w:numPr>
                <w:ilvl w:val="0"/>
                <w:numId w:val="2"/>
              </w:numPr>
              <w:ind w:right="-108"/>
              <w:rPr>
                <w:rFonts w:ascii="Arial" w:hAnsi="Arial" w:cs="Arial"/>
                <w:color w:val="6C6361"/>
                <w:szCs w:val="20"/>
              </w:rPr>
            </w:pPr>
            <w:r w:rsidRPr="008B6943">
              <w:rPr>
                <w:rFonts w:ascii="Arial" w:hAnsi="Arial" w:cs="Arial"/>
                <w:color w:val="6C6361"/>
                <w:szCs w:val="20"/>
              </w:rPr>
              <w:t xml:space="preserve">Preliminary Issue </w:t>
            </w:r>
            <w:r>
              <w:rPr>
                <w:rFonts w:ascii="Arial" w:hAnsi="Arial" w:cs="Arial"/>
                <w:color w:val="6C6361"/>
                <w:szCs w:val="20"/>
              </w:rPr>
              <w:t>-</w:t>
            </w:r>
            <w:r w:rsidRPr="008B6943">
              <w:rPr>
                <w:rFonts w:ascii="Arial" w:hAnsi="Arial" w:cs="Arial"/>
                <w:color w:val="6C6361"/>
                <w:szCs w:val="20"/>
              </w:rPr>
              <w:t xml:space="preserve"> Beneficial Ownership</w:t>
            </w:r>
          </w:p>
          <w:p w14:paraId="5EE37A0B" w14:textId="77777777" w:rsidR="00D2168A" w:rsidRPr="008B6943" w:rsidRDefault="00D2168A" w:rsidP="009B1687">
            <w:pPr>
              <w:pStyle w:val="ListParagraph"/>
              <w:numPr>
                <w:ilvl w:val="0"/>
                <w:numId w:val="2"/>
              </w:numPr>
              <w:ind w:right="-108"/>
              <w:rPr>
                <w:rFonts w:ascii="Arial" w:hAnsi="Arial" w:cs="Arial"/>
                <w:color w:val="6C6361"/>
                <w:szCs w:val="20"/>
              </w:rPr>
            </w:pPr>
            <w:r w:rsidRPr="008B6943">
              <w:rPr>
                <w:rFonts w:ascii="Arial" w:hAnsi="Arial" w:cs="Arial"/>
                <w:color w:val="6C6361"/>
                <w:szCs w:val="20"/>
              </w:rPr>
              <w:t>Matrimonial vs Non-Matrimonial Property</w:t>
            </w:r>
          </w:p>
          <w:p w14:paraId="57CDF08E" w14:textId="77777777" w:rsidR="00D2168A" w:rsidRPr="008B6943" w:rsidRDefault="00D2168A" w:rsidP="009B1687">
            <w:pPr>
              <w:pStyle w:val="ListParagraph"/>
              <w:numPr>
                <w:ilvl w:val="0"/>
                <w:numId w:val="2"/>
              </w:numPr>
              <w:ind w:right="-108"/>
              <w:rPr>
                <w:rFonts w:ascii="Arial" w:hAnsi="Arial" w:cs="Arial"/>
                <w:color w:val="6C6361"/>
                <w:szCs w:val="20"/>
              </w:rPr>
            </w:pPr>
            <w:r w:rsidRPr="008B6943">
              <w:rPr>
                <w:rFonts w:ascii="Arial" w:hAnsi="Arial" w:cs="Arial"/>
                <w:color w:val="6C6361"/>
                <w:szCs w:val="20"/>
              </w:rPr>
              <w:t>Post-Separation Assets</w:t>
            </w:r>
          </w:p>
          <w:p w14:paraId="12925B65" w14:textId="77777777" w:rsidR="00D2168A" w:rsidRPr="00AC6A57" w:rsidRDefault="00D2168A" w:rsidP="009B1687">
            <w:pPr>
              <w:pStyle w:val="ListParagraph"/>
              <w:numPr>
                <w:ilvl w:val="0"/>
                <w:numId w:val="2"/>
              </w:numPr>
              <w:ind w:right="-108"/>
              <w:rPr>
                <w:rFonts w:ascii="Arial" w:hAnsi="Arial" w:cs="Arial"/>
                <w:color w:val="6C6361"/>
                <w:szCs w:val="20"/>
              </w:rPr>
            </w:pPr>
            <w:r w:rsidRPr="008B6943">
              <w:rPr>
                <w:rFonts w:ascii="Arial" w:hAnsi="Arial" w:cs="Arial"/>
                <w:color w:val="6C6361"/>
                <w:szCs w:val="20"/>
              </w:rPr>
              <w:t>Pensions</w:t>
            </w:r>
          </w:p>
        </w:tc>
      </w:tr>
    </w:tbl>
    <w:p w14:paraId="53FF4EC7" w14:textId="77777777" w:rsidR="00772CFE" w:rsidRPr="00D2168A" w:rsidRDefault="00772CFE" w:rsidP="005C693B">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16"/>
        <w:gridCol w:w="858"/>
        <w:gridCol w:w="1700"/>
        <w:gridCol w:w="2464"/>
        <w:gridCol w:w="1239"/>
      </w:tblGrid>
      <w:tr w:rsidR="00D2168A" w:rsidRPr="005A2F25" w14:paraId="16261A52" w14:textId="77777777" w:rsidTr="007A74B2">
        <w:trPr>
          <w:trHeight w:val="340"/>
          <w:jc w:val="center"/>
        </w:trPr>
        <w:tc>
          <w:tcPr>
            <w:tcW w:w="1695" w:type="dxa"/>
            <w:tcBorders>
              <w:top w:val="nil"/>
              <w:left w:val="nil"/>
              <w:bottom w:val="single" w:sz="12" w:space="0" w:color="FFFFFF"/>
            </w:tcBorders>
            <w:shd w:val="clear" w:color="auto" w:fill="F0EBE1"/>
            <w:vAlign w:val="center"/>
          </w:tcPr>
          <w:p w14:paraId="5C7E13A5" w14:textId="21A6334C" w:rsidR="00D2168A" w:rsidRPr="002343EF"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14:paraId="6BC483EB" w14:textId="32260640" w:rsidR="00D2168A" w:rsidRPr="002343EF"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EVT000000420</w:t>
            </w:r>
          </w:p>
        </w:tc>
        <w:tc>
          <w:tcPr>
            <w:tcW w:w="1700" w:type="dxa"/>
            <w:tcBorders>
              <w:top w:val="nil"/>
              <w:bottom w:val="single" w:sz="12" w:space="0" w:color="FFFFFF"/>
            </w:tcBorders>
            <w:shd w:val="clear" w:color="auto" w:fill="F0EBE1"/>
            <w:vAlign w:val="center"/>
          </w:tcPr>
          <w:p w14:paraId="6D05CC8C" w14:textId="340F4B9D" w:rsidR="00D2168A" w:rsidRPr="002343EF"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14:paraId="12851292" w14:textId="7A544515" w:rsidR="00D2168A" w:rsidRPr="002343EF"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D2168A" w:rsidRPr="005A2F25" w14:paraId="48688272" w14:textId="77777777"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14:paraId="4ECC86DE" w14:textId="12502A64" w:rsidR="00D2168A" w:rsidRPr="002343EF"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14:paraId="175ECCA4" w14:textId="754427B9" w:rsidR="00D2168A" w:rsidRPr="006B70C1"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19</w:t>
            </w:r>
            <w:r w:rsidRPr="004319ED">
              <w:rPr>
                <w:rFonts w:ascii="Arial" w:hAnsi="Arial" w:cs="Arial"/>
                <w:b/>
                <w:color w:val="6C6361"/>
                <w:sz w:val="20"/>
                <w:szCs w:val="20"/>
              </w:rPr>
              <w:t xml:space="preserve"> December 2023 (</w:t>
            </w:r>
            <w:r>
              <w:rPr>
                <w:rFonts w:ascii="Arial" w:hAnsi="Arial" w:cs="Arial"/>
                <w:b/>
                <w:color w:val="6C6361"/>
                <w:sz w:val="20"/>
                <w:szCs w:val="20"/>
              </w:rPr>
              <w:t>Tuesday</w:t>
            </w:r>
            <w:r w:rsidRPr="004319ED">
              <w:rPr>
                <w:rFonts w:ascii="Arial" w:hAnsi="Arial" w:cs="Arial"/>
                <w:b/>
                <w:color w:val="6C6361"/>
                <w:sz w:val="20"/>
                <w:szCs w:val="20"/>
              </w:rPr>
              <w:t>) (Amended)</w:t>
            </w:r>
          </w:p>
        </w:tc>
        <w:tc>
          <w:tcPr>
            <w:tcW w:w="1700" w:type="dxa"/>
            <w:tcBorders>
              <w:top w:val="single" w:sz="12" w:space="0" w:color="FFFFFF"/>
              <w:bottom w:val="single" w:sz="12" w:space="0" w:color="FFFFFF"/>
            </w:tcBorders>
            <w:shd w:val="clear" w:color="auto" w:fill="F0EBE1"/>
            <w:vAlign w:val="center"/>
          </w:tcPr>
          <w:p w14:paraId="2ADD68D3" w14:textId="7DA624C0" w:rsidR="00D2168A" w:rsidRPr="002343EF"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14:paraId="0B0B37CE" w14:textId="5A0F4709" w:rsidR="00D2168A" w:rsidRPr="002343EF"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D2168A" w:rsidRPr="005A2F25" w14:paraId="24A8FEAA" w14:textId="77777777"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14:paraId="6C613A7C" w14:textId="0548BAE7" w:rsidR="00D2168A" w:rsidRPr="002343EF"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14:paraId="1EB5CBC1" w14:textId="77777777" w:rsidR="00D2168A" w:rsidRPr="000762CF"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 xml:space="preserve">:30 - </w:t>
            </w:r>
            <w:r>
              <w:rPr>
                <w:rFonts w:ascii="Arial" w:hAnsi="Arial" w:cs="Arial"/>
                <w:b/>
                <w:color w:val="6C6361"/>
                <w:sz w:val="20"/>
                <w:szCs w:val="20"/>
              </w:rPr>
              <w:t>17</w:t>
            </w:r>
            <w:r w:rsidRPr="000762CF">
              <w:rPr>
                <w:rFonts w:ascii="Arial" w:hAnsi="Arial" w:cs="Arial"/>
                <w:b/>
                <w:color w:val="6C6361"/>
                <w:sz w:val="20"/>
                <w:szCs w:val="20"/>
              </w:rPr>
              <w:t>:45</w:t>
            </w:r>
          </w:p>
          <w:p w14:paraId="495510C3" w14:textId="3F566A81" w:rsidR="00D2168A" w:rsidRPr="00EC7ADB"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14:paraId="5F70E081" w14:textId="57DF110C" w:rsidR="00D2168A" w:rsidRPr="002343EF"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14:paraId="0861A2A3" w14:textId="7A2C0CA4" w:rsidR="00D2168A" w:rsidRPr="006B70C1"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0762CF">
              <w:rPr>
                <w:rFonts w:ascii="Arial" w:hAnsi="Arial" w:cs="Arial"/>
                <w:b/>
                <w:color w:val="6C6361"/>
                <w:sz w:val="20"/>
                <w:szCs w:val="20"/>
              </w:rPr>
              <w:t>LSHK</w:t>
            </w:r>
            <w:r>
              <w:rPr>
                <w:rFonts w:ascii="Arial" w:hAnsi="Arial" w:cs="Arial"/>
                <w:b/>
                <w:color w:val="6C6361"/>
                <w:sz w:val="20"/>
                <w:szCs w:val="20"/>
              </w:rPr>
              <w:t xml:space="preserve"> 3.0</w:t>
            </w:r>
            <w:r w:rsidRPr="000762CF">
              <w:rPr>
                <w:rFonts w:ascii="Arial" w:hAnsi="Arial" w:cs="Arial"/>
                <w:b/>
                <w:color w:val="6C6361"/>
                <w:sz w:val="20"/>
                <w:szCs w:val="20"/>
              </w:rPr>
              <w:t xml:space="preserve"> CPD Points</w:t>
            </w:r>
          </w:p>
        </w:tc>
      </w:tr>
      <w:tr w:rsidR="00D2168A" w:rsidRPr="005A2F25" w14:paraId="58359D86" w14:textId="77777777" w:rsidTr="00D2168A">
        <w:trPr>
          <w:trHeight w:val="1134"/>
          <w:jc w:val="center"/>
        </w:trPr>
        <w:tc>
          <w:tcPr>
            <w:tcW w:w="1695" w:type="dxa"/>
            <w:tcBorders>
              <w:top w:val="single" w:sz="12" w:space="0" w:color="FFFFFF"/>
              <w:left w:val="nil"/>
              <w:bottom w:val="nil"/>
            </w:tcBorders>
            <w:shd w:val="clear" w:color="auto" w:fill="F0EBE1"/>
            <w:vAlign w:val="center"/>
          </w:tcPr>
          <w:p w14:paraId="023E831F" w14:textId="67E0B404" w:rsidR="00D2168A" w:rsidRPr="002343EF"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16" w:type="dxa"/>
            <w:tcBorders>
              <w:top w:val="single" w:sz="12" w:space="0" w:color="F0EBE1"/>
              <w:bottom w:val="nil"/>
              <w:right w:val="nil"/>
            </w:tcBorders>
            <w:shd w:val="clear" w:color="auto" w:fill="FFFFFF"/>
            <w:vAlign w:val="center"/>
          </w:tcPr>
          <w:p w14:paraId="33772F35" w14:textId="77777777" w:rsidR="00D2168A" w:rsidRDefault="00D2168A" w:rsidP="00D2168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7E5AC01E" w14:textId="77777777" w:rsidR="00D2168A" w:rsidRPr="002D6743" w:rsidRDefault="00D2168A" w:rsidP="00D2168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7A89441E" w14:textId="77777777" w:rsidR="00D2168A" w:rsidRPr="00B90951" w:rsidRDefault="00D2168A" w:rsidP="00D2168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7F073199" w14:textId="77777777" w:rsidR="00D2168A" w:rsidRPr="00B90951"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5206C0C7" w14:textId="77777777" w:rsidR="00D2168A" w:rsidRPr="00B90951"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316C581A" w14:textId="681E786B" w:rsidR="00D2168A" w:rsidRPr="00334CAE" w:rsidRDefault="00D2168A" w:rsidP="00D2168A">
            <w:pPr>
              <w:ind w:right="400"/>
              <w:rPr>
                <w:rFonts w:ascii="Arial" w:hAnsi="Arial" w:cs="Arial"/>
                <w:b/>
                <w:color w:val="6C6361"/>
                <w:sz w:val="12"/>
                <w:szCs w:val="12"/>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858" w:type="dxa"/>
            <w:tcBorders>
              <w:top w:val="single" w:sz="12" w:space="0" w:color="F0EBE1"/>
              <w:left w:val="nil"/>
              <w:bottom w:val="nil"/>
            </w:tcBorders>
            <w:shd w:val="clear" w:color="auto" w:fill="FFFFFF"/>
            <w:vAlign w:val="bottom"/>
          </w:tcPr>
          <w:p w14:paraId="73FE90D0" w14:textId="77777777" w:rsidR="00D2168A"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6C6361"/>
                <w:sz w:val="20"/>
                <w:szCs w:val="20"/>
              </w:rPr>
            </w:pPr>
            <w:r w:rsidRPr="00B90951">
              <w:rPr>
                <w:rFonts w:ascii="Arial" w:hAnsi="Arial" w:cs="Arial"/>
                <w:b/>
                <w:noProof/>
                <w:color w:val="6C6361"/>
                <w:sz w:val="20"/>
                <w:szCs w:val="20"/>
              </w:rPr>
              <w:drawing>
                <wp:inline distT="0" distB="0" distL="0" distR="0" wp14:anchorId="080663A4" wp14:editId="78294997">
                  <wp:extent cx="360000" cy="360000"/>
                  <wp:effectExtent l="0" t="0" r="0" b="0"/>
                  <wp:docPr id="32" name="Picture 3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7C508ACA" w14:textId="77777777" w:rsidR="00D2168A" w:rsidRPr="00334CAE" w:rsidRDefault="00D2168A" w:rsidP="00D2168A">
            <w:pPr>
              <w:ind w:right="400"/>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14:paraId="247C9F4F" w14:textId="2109495F" w:rsidR="00D2168A" w:rsidRPr="003A2A41"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5BF86693" w14:textId="77777777" w:rsidR="00D2168A" w:rsidRPr="003A2A41"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14:paraId="6383FD2D" w14:textId="77777777" w:rsidR="00D2168A" w:rsidRPr="003A2A41"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59949724" w14:textId="77777777" w:rsidR="00D2168A" w:rsidRPr="003A2A41"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14:paraId="34771A38" w14:textId="77777777" w:rsidR="00D2168A" w:rsidRPr="00156567" w:rsidRDefault="00D2168A" w:rsidP="00D21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0958CB14" wp14:editId="2E7369F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1BE90CF3" w14:textId="77777777" w:rsidR="00214BC6" w:rsidRPr="007A74B2" w:rsidRDefault="00214BC6" w:rsidP="005C693B">
      <w:pPr>
        <w:rPr>
          <w:sz w:val="2"/>
          <w:szCs w:val="2"/>
        </w:rPr>
      </w:pPr>
    </w:p>
    <w:sectPr w:rsidR="00214BC6" w:rsidRPr="007A74B2"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FB8F8" w14:textId="77777777" w:rsidR="00052571" w:rsidRDefault="00052571" w:rsidP="00546556">
      <w:r>
        <w:separator/>
      </w:r>
    </w:p>
  </w:endnote>
  <w:endnote w:type="continuationSeparator" w:id="0">
    <w:p w14:paraId="304C2830" w14:textId="77777777" w:rsidR="00052571" w:rsidRDefault="0005257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F312"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279FF8D5" w14:textId="77777777" w:rsidTr="00A775CE">
      <w:trPr>
        <w:trHeight w:val="1824"/>
        <w:jc w:val="center"/>
      </w:trPr>
      <w:tc>
        <w:tcPr>
          <w:tcW w:w="5954" w:type="dxa"/>
          <w:vAlign w:val="bottom"/>
        </w:tcPr>
        <w:p w14:paraId="4E09D015"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65DBB75C" wp14:editId="39161FD6">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69808799" w14:textId="77777777" w:rsidR="00197F64" w:rsidRPr="00EA2D57" w:rsidRDefault="00197F64" w:rsidP="00197F64">
          <w:pPr>
            <w:ind w:right="33"/>
            <w:jc w:val="center"/>
            <w:rPr>
              <w:rFonts w:ascii="Arial" w:hAnsi="Arial" w:cs="Arial"/>
              <w:color w:val="E4DCCA"/>
              <w:sz w:val="16"/>
              <w:szCs w:val="16"/>
            </w:rPr>
          </w:pPr>
        </w:p>
        <w:p w14:paraId="02DEEDD9"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D575B93"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5B60E3A8"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2F0A78ED"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0D01F4C" wp14:editId="6B4D762E">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3FCDEE38"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5A38B72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4CD83B93"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1E724468"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20B700A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3F19BCC6"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05677" w14:textId="77777777" w:rsidR="00052571" w:rsidRDefault="00052571" w:rsidP="00546556">
      <w:r>
        <w:separator/>
      </w:r>
    </w:p>
  </w:footnote>
  <w:footnote w:type="continuationSeparator" w:id="0">
    <w:p w14:paraId="04D46730" w14:textId="77777777" w:rsidR="00052571" w:rsidRDefault="00052571"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4A882" w14:textId="77777777" w:rsidR="002C4DC0" w:rsidRDefault="00F0384F">
    <w:pPr>
      <w:pStyle w:val="Header"/>
    </w:pPr>
    <w:r>
      <w:rPr>
        <w:noProof/>
      </w:rPr>
      <w:drawing>
        <wp:anchor distT="0" distB="0" distL="114300" distR="114300" simplePos="0" relativeHeight="251659264" behindDoc="1" locked="0" layoutInCell="1" allowOverlap="1" wp14:anchorId="2796A5E6" wp14:editId="59672AA4">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gutterAtTop/>
  <w:proofState w:spelling="clean" w:grammar="clean"/>
  <w:documentProtection w:edit="forms" w:enforcement="1" w:cryptProviderType="rsaAES" w:cryptAlgorithmClass="hash" w:cryptAlgorithmType="typeAny" w:cryptAlgorithmSid="14" w:cryptSpinCount="100000" w:hash="aPTjrZ+omSOJtdx0eSkRCbe2bdK0jzHlMLBHAE4P4alD7drSeTYpJjcT0Hto+Qul32pmtvlomEzp+PqzxgBniQ==" w:salt="TDdwai+l5TggaqOKz11i0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571"/>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1B3A"/>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5AE"/>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2048"/>
    <w:rsid w:val="00312AD5"/>
    <w:rsid w:val="00314A05"/>
    <w:rsid w:val="0031523F"/>
    <w:rsid w:val="00315527"/>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B7685"/>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59FB"/>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1"/>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56F5"/>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97ACB"/>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4B9"/>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4BF0"/>
    <w:rsid w:val="006D4D2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53CA"/>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CFE"/>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356C"/>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776"/>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5ED4"/>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830"/>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6B0E"/>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68A"/>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40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ED"/>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0D84"/>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C7CD4"/>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1A338"/>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772C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5448/"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42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3CE93-389D-4D79-B54D-AF8E200A5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569</Words>
  <Characters>3246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CPD Course: Judicial Review in a Nutshell</vt:lpstr>
    </vt:vector>
  </TitlesOfParts>
  <Manager>Tyrone Tsang</Manager>
  <Company>The Profectional Company Limited</Company>
  <LinksUpToDate>false</LinksUpToDate>
  <CharactersWithSpaces>3808</CharactersWithSpaces>
  <SharedDoc>false</SharedDoc>
  <HyperlinkBase>http://download.profectional.com/events/EVT000000420.docx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 Comprehensive Guide to Ancillary Relief Law and Procedure in Hong Kong, with a Focus on the Court's Treatment of Post-Separation Assets and Pensions</dc:title>
  <dc:subject>CPD Course: A Comprehensive Guide to Ancillary Relief Law and Procedure in Hong Kong, with a Focus on the Court's Treatment of Post-Separation Assets and Pensions</dc:subject>
  <dc:creator>The Profectional Company Limited</dc:creator>
  <cp:keywords>Profectional; Kornerstone; CPD; CPT; CLE; CE; RME; Sebastian Leung; Barrister-at-Law; Bernacchi Chambers</cp:keywords>
  <dc:description/>
  <cp:lastModifiedBy>Tyrone Tsang</cp:lastModifiedBy>
  <cp:revision>65</cp:revision>
  <cp:lastPrinted>2023-12-08T03:27:00Z</cp:lastPrinted>
  <dcterms:created xsi:type="dcterms:W3CDTF">2015-08-21T08:33:00Z</dcterms:created>
  <dcterms:modified xsi:type="dcterms:W3CDTF">2023-12-08T03:27:00Z</dcterms:modified>
  <cp:category/>
</cp:coreProperties>
</file>