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22DB2" w14:textId="77777777" w:rsidR="00F50A9D" w:rsidRPr="00F50A9D" w:rsidRDefault="00F50A9D" w:rsidP="00F50A9D">
      <w:pPr>
        <w:spacing w:line="276" w:lineRule="auto"/>
        <w:jc w:val="left"/>
        <w:rPr>
          <w:rFonts w:ascii="Arial" w:hAnsi="Arial" w:cs="Arial"/>
          <w:sz w:val="2"/>
          <w:szCs w:val="2"/>
        </w:rPr>
      </w:pPr>
    </w:p>
    <w:tbl>
      <w:tblPr>
        <w:tblW w:w="10773" w:type="dxa"/>
        <w:jc w:val="center"/>
        <w:tblLook w:val="04A0" w:firstRow="1" w:lastRow="0" w:firstColumn="1" w:lastColumn="0" w:noHBand="0" w:noVBand="1"/>
      </w:tblPr>
      <w:tblGrid>
        <w:gridCol w:w="4797"/>
        <w:gridCol w:w="5976"/>
      </w:tblGrid>
      <w:tr w:rsidR="00F50A9D" w:rsidRPr="00523A64" w14:paraId="64205946" w14:textId="77777777" w:rsidTr="0075226B">
        <w:trPr>
          <w:trHeight w:val="3119"/>
          <w:jc w:val="center"/>
        </w:trPr>
        <w:tc>
          <w:tcPr>
            <w:tcW w:w="4820" w:type="dxa"/>
            <w:shd w:val="clear" w:color="auto" w:fill="FFFFFF"/>
            <w:vAlign w:val="center"/>
          </w:tcPr>
          <w:p w14:paraId="506FCEDE" w14:textId="77777777" w:rsidR="00F50A9D" w:rsidRPr="001A3018" w:rsidRDefault="00F50A9D" w:rsidP="0075226B">
            <w:pPr>
              <w:jc w:val="center"/>
              <w:rPr>
                <w:rFonts w:ascii="Arial" w:hAnsi="Arial" w:cs="Arial"/>
                <w:b/>
                <w:bCs/>
                <w:color w:val="524B48"/>
                <w:sz w:val="4"/>
                <w:szCs w:val="4"/>
              </w:rPr>
            </w:pPr>
          </w:p>
          <w:p w14:paraId="6C60063E" w14:textId="77777777" w:rsidR="00F50A9D" w:rsidRDefault="00F50A9D" w:rsidP="0075226B">
            <w:pPr>
              <w:jc w:val="center"/>
              <w:rPr>
                <w:rStyle w:val="Hyperlink"/>
                <w:rFonts w:ascii="Arial" w:hAnsi="Arial" w:cs="Arial"/>
                <w:b/>
                <w:bCs/>
                <w:color w:val="524B48"/>
                <w:sz w:val="32"/>
                <w:szCs w:val="32"/>
                <w:u w:val="none"/>
              </w:rPr>
            </w:pPr>
            <w:r w:rsidRPr="00CF685C">
              <w:fldChar w:fldCharType="begin"/>
            </w:r>
            <w:r>
              <w:instrText>HYPERLINK "http://cpd.hk/evt000000424/"</w:instrText>
            </w:r>
            <w:r w:rsidRPr="00CF685C">
              <w:fldChar w:fldCharType="separate"/>
            </w:r>
            <w:r>
              <w:rPr>
                <w:rStyle w:val="Hyperlink"/>
                <w:rFonts w:ascii="Arial" w:hAnsi="Arial" w:cs="Arial"/>
                <w:b/>
                <w:bCs/>
                <w:color w:val="524B48"/>
                <w:sz w:val="32"/>
                <w:szCs w:val="32"/>
                <w:u w:val="none"/>
              </w:rPr>
              <w:t>The Law of Charities</w:t>
            </w:r>
          </w:p>
          <w:p w14:paraId="3ADC726F" w14:textId="77777777" w:rsidR="00F50A9D" w:rsidRDefault="00F50A9D" w:rsidP="0075226B">
            <w:pPr>
              <w:jc w:val="center"/>
              <w:rPr>
                <w:rStyle w:val="Hyperlink"/>
                <w:rFonts w:ascii="Arial" w:hAnsi="Arial" w:cs="Arial"/>
                <w:b/>
                <w:bCs/>
                <w:color w:val="524B48"/>
                <w:sz w:val="32"/>
                <w:szCs w:val="32"/>
                <w:u w:val="none"/>
              </w:rPr>
            </w:pPr>
            <w:r w:rsidRPr="006535A2">
              <w:rPr>
                <w:rStyle w:val="Hyperlink"/>
                <w:rFonts w:ascii="Arial" w:hAnsi="Arial" w:cs="Arial"/>
                <w:b/>
                <w:bCs/>
                <w:color w:val="524B48"/>
                <w:sz w:val="32"/>
                <w:szCs w:val="32"/>
                <w:u w:val="none"/>
              </w:rPr>
              <w:t>in Hong Kong</w:t>
            </w:r>
          </w:p>
          <w:p w14:paraId="361ED42E" w14:textId="77777777" w:rsidR="00F50A9D" w:rsidRDefault="00F50A9D" w:rsidP="0075226B">
            <w:pPr>
              <w:jc w:val="center"/>
              <w:rPr>
                <w:rStyle w:val="Hyperlink"/>
                <w:rFonts w:ascii="Arial" w:hAnsi="Arial" w:cs="Arial"/>
                <w:b/>
                <w:bCs/>
                <w:color w:val="524B48"/>
                <w:sz w:val="32"/>
                <w:szCs w:val="32"/>
                <w:u w:val="none"/>
              </w:rPr>
            </w:pPr>
            <w:r w:rsidRPr="006535A2">
              <w:rPr>
                <w:rStyle w:val="Hyperlink"/>
                <w:rFonts w:ascii="Arial" w:hAnsi="Arial" w:cs="Arial"/>
                <w:b/>
                <w:bCs/>
                <w:color w:val="524B48"/>
                <w:sz w:val="32"/>
                <w:szCs w:val="32"/>
                <w:u w:val="none"/>
              </w:rPr>
              <w:t>and Possible Reform</w:t>
            </w:r>
          </w:p>
          <w:p w14:paraId="57BEC9F7" w14:textId="77777777" w:rsidR="00F50A9D" w:rsidRPr="00C65AFD" w:rsidRDefault="00F50A9D" w:rsidP="0075226B">
            <w:pPr>
              <w:jc w:val="center"/>
              <w:rPr>
                <w:rFonts w:ascii="Arial" w:hAnsi="Arial" w:cs="Arial"/>
                <w:b/>
                <w:bCs/>
                <w:sz w:val="24"/>
                <w:szCs w:val="24"/>
              </w:rPr>
            </w:pPr>
            <w:r>
              <w:rPr>
                <w:rStyle w:val="Hyperlink"/>
                <w:rFonts w:ascii="Arial" w:hAnsi="Arial" w:cs="Arial"/>
                <w:b/>
                <w:bCs/>
                <w:color w:val="524B48"/>
                <w:sz w:val="32"/>
                <w:szCs w:val="32"/>
                <w:u w:val="none"/>
              </w:rPr>
              <w:t xml:space="preserve"> </w:t>
            </w:r>
            <w:r w:rsidRPr="00CF685C">
              <w:rPr>
                <w:rStyle w:val="Hyperlink"/>
                <w:rFonts w:ascii="Arial" w:hAnsi="Arial" w:cs="Arial"/>
                <w:b/>
                <w:bCs/>
                <w:color w:val="524B48"/>
                <w:sz w:val="32"/>
                <w:szCs w:val="32"/>
                <w:u w:val="none"/>
              </w:rPr>
              <w:fldChar w:fldCharType="end"/>
            </w:r>
          </w:p>
          <w:p w14:paraId="4D570017" w14:textId="77777777" w:rsidR="00F50A9D" w:rsidRPr="00C65AFD" w:rsidRDefault="00F50A9D" w:rsidP="0075226B">
            <w:pPr>
              <w:jc w:val="center"/>
              <w:rPr>
                <w:rFonts w:ascii="Arial" w:hAnsi="Arial" w:cs="Arial"/>
                <w:i/>
                <w:color w:val="6C6361"/>
                <w:sz w:val="24"/>
                <w:szCs w:val="24"/>
              </w:rPr>
            </w:pPr>
            <w:r w:rsidRPr="00C65AFD">
              <w:rPr>
                <w:rFonts w:ascii="Arial" w:hAnsi="Arial" w:cs="Arial"/>
                <w:i/>
                <w:color w:val="6C6361"/>
                <w:sz w:val="24"/>
                <w:szCs w:val="24"/>
              </w:rPr>
              <w:t>by</w:t>
            </w:r>
          </w:p>
          <w:p w14:paraId="1DAB59C2" w14:textId="77777777" w:rsidR="00F50A9D" w:rsidRDefault="00F50A9D" w:rsidP="0075226B">
            <w:pPr>
              <w:jc w:val="center"/>
              <w:rPr>
                <w:rStyle w:val="Hyperlink"/>
                <w:rFonts w:ascii="Arial" w:hAnsi="Arial" w:cs="Arial"/>
                <w:color w:val="6C6361"/>
                <w:sz w:val="24"/>
                <w:szCs w:val="24"/>
                <w:u w:val="none"/>
              </w:rPr>
            </w:pPr>
            <w:hyperlink r:id="rId8" w:history="1">
              <w:r>
                <w:rPr>
                  <w:rStyle w:val="Hyperlink"/>
                  <w:rFonts w:ascii="Arial" w:hAnsi="Arial" w:cs="Arial"/>
                  <w:color w:val="6C6361"/>
                  <w:sz w:val="24"/>
                  <w:szCs w:val="24"/>
                  <w:u w:val="none"/>
                </w:rPr>
                <w:t>Prof. Steven Gallagher</w:t>
              </w:r>
            </w:hyperlink>
            <w:r>
              <w:rPr>
                <w:rStyle w:val="Hyperlink"/>
                <w:rFonts w:ascii="Arial" w:hAnsi="Arial" w:cs="Arial"/>
                <w:color w:val="6C6361"/>
                <w:sz w:val="24"/>
                <w:szCs w:val="24"/>
                <w:u w:val="none"/>
              </w:rPr>
              <w:t>,</w:t>
            </w:r>
          </w:p>
          <w:p w14:paraId="519F346D" w14:textId="77777777" w:rsidR="00F50A9D" w:rsidRDefault="00F50A9D" w:rsidP="0075226B">
            <w:pPr>
              <w:jc w:val="center"/>
              <w:rPr>
                <w:rFonts w:ascii="Arial" w:hAnsi="Arial" w:cs="Arial"/>
                <w:color w:val="6C6361"/>
                <w:sz w:val="24"/>
                <w:szCs w:val="24"/>
              </w:rPr>
            </w:pPr>
            <w:r>
              <w:rPr>
                <w:rFonts w:ascii="Arial" w:hAnsi="Arial" w:cs="Arial"/>
                <w:color w:val="6C6361"/>
                <w:sz w:val="24"/>
                <w:szCs w:val="24"/>
              </w:rPr>
              <w:t>Professor of Practice in Law,</w:t>
            </w:r>
          </w:p>
          <w:p w14:paraId="63AB2857" w14:textId="77777777" w:rsidR="00F50A9D" w:rsidRDefault="00F50A9D" w:rsidP="0075226B">
            <w:pPr>
              <w:jc w:val="center"/>
              <w:rPr>
                <w:rFonts w:ascii="Arial" w:hAnsi="Arial" w:cs="Arial"/>
                <w:color w:val="6C6361"/>
                <w:sz w:val="24"/>
                <w:szCs w:val="24"/>
              </w:rPr>
            </w:pPr>
            <w:r w:rsidRPr="00BB7007">
              <w:rPr>
                <w:rFonts w:ascii="Arial" w:hAnsi="Arial" w:cs="Arial"/>
                <w:color w:val="6C6361"/>
                <w:sz w:val="24"/>
                <w:szCs w:val="24"/>
              </w:rPr>
              <w:t>Associ</w:t>
            </w:r>
            <w:r>
              <w:rPr>
                <w:rFonts w:ascii="Arial" w:hAnsi="Arial" w:cs="Arial"/>
                <w:color w:val="6C6361"/>
                <w:sz w:val="24"/>
                <w:szCs w:val="24"/>
              </w:rPr>
              <w:t>ate Dean</w:t>
            </w:r>
          </w:p>
          <w:p w14:paraId="38377D47" w14:textId="77777777" w:rsidR="00F50A9D" w:rsidRDefault="00F50A9D" w:rsidP="0075226B">
            <w:pPr>
              <w:jc w:val="center"/>
              <w:rPr>
                <w:rFonts w:ascii="Arial" w:hAnsi="Arial" w:cs="Arial"/>
                <w:color w:val="6C6361"/>
                <w:sz w:val="24"/>
                <w:szCs w:val="24"/>
              </w:rPr>
            </w:pPr>
            <w:r>
              <w:rPr>
                <w:rFonts w:ascii="Arial" w:hAnsi="Arial" w:cs="Arial"/>
                <w:color w:val="6C6361"/>
                <w:sz w:val="24"/>
                <w:szCs w:val="24"/>
              </w:rPr>
              <w:t>(</w:t>
            </w:r>
            <w:r w:rsidRPr="00003F35">
              <w:rPr>
                <w:rFonts w:ascii="Arial" w:hAnsi="Arial" w:cs="Arial"/>
                <w:color w:val="6C6361"/>
                <w:sz w:val="24"/>
                <w:szCs w:val="24"/>
              </w:rPr>
              <w:t>Academic &amp; Student Affairs</w:t>
            </w:r>
            <w:r>
              <w:rPr>
                <w:rFonts w:ascii="Arial" w:hAnsi="Arial" w:cs="Arial"/>
                <w:color w:val="6C6361"/>
                <w:sz w:val="24"/>
                <w:szCs w:val="24"/>
              </w:rPr>
              <w:t>),</w:t>
            </w:r>
          </w:p>
          <w:p w14:paraId="43CDE74E" w14:textId="77777777" w:rsidR="00F50A9D" w:rsidRDefault="00F50A9D" w:rsidP="0075226B">
            <w:pPr>
              <w:jc w:val="center"/>
              <w:rPr>
                <w:rFonts w:ascii="Arial" w:hAnsi="Arial" w:cs="Arial"/>
                <w:color w:val="6C6361"/>
                <w:sz w:val="24"/>
                <w:szCs w:val="24"/>
              </w:rPr>
            </w:pPr>
            <w:r>
              <w:rPr>
                <w:rFonts w:ascii="Arial" w:hAnsi="Arial" w:cs="Arial"/>
                <w:color w:val="6C6361"/>
                <w:sz w:val="24"/>
                <w:szCs w:val="24"/>
              </w:rPr>
              <w:t>The Faculty of Law,</w:t>
            </w:r>
          </w:p>
          <w:p w14:paraId="4D2F855C" w14:textId="77777777" w:rsidR="00F50A9D" w:rsidRDefault="00F50A9D" w:rsidP="0075226B">
            <w:pPr>
              <w:jc w:val="center"/>
              <w:rPr>
                <w:rFonts w:ascii="Arial" w:hAnsi="Arial" w:cs="Arial"/>
                <w:color w:val="6C6361"/>
                <w:sz w:val="24"/>
                <w:szCs w:val="24"/>
              </w:rPr>
            </w:pPr>
            <w:r w:rsidRPr="00BB7007">
              <w:rPr>
                <w:rFonts w:ascii="Arial" w:hAnsi="Arial" w:cs="Arial"/>
                <w:color w:val="6C6361"/>
                <w:sz w:val="24"/>
                <w:szCs w:val="24"/>
              </w:rPr>
              <w:t>The Chinese University of Hong Kong</w:t>
            </w:r>
          </w:p>
          <w:p w14:paraId="331BF516" w14:textId="77777777" w:rsidR="00F50A9D" w:rsidRPr="00D87ECF" w:rsidRDefault="00F50A9D" w:rsidP="0075226B">
            <w:pPr>
              <w:jc w:val="center"/>
              <w:rPr>
                <w:rFonts w:ascii="Arial" w:hAnsi="Arial" w:cs="Arial"/>
                <w:color w:val="6C6361"/>
                <w:sz w:val="8"/>
                <w:szCs w:val="8"/>
              </w:rPr>
            </w:pPr>
          </w:p>
        </w:tc>
        <w:tc>
          <w:tcPr>
            <w:tcW w:w="5954" w:type="dxa"/>
            <w:shd w:val="clear" w:color="auto" w:fill="FFFFFF"/>
            <w:vAlign w:val="center"/>
          </w:tcPr>
          <w:p w14:paraId="52961E97" w14:textId="77777777" w:rsidR="00F50A9D" w:rsidRPr="00D50772" w:rsidRDefault="00F50A9D" w:rsidP="0075226B">
            <w:pPr>
              <w:spacing w:line="276" w:lineRule="auto"/>
              <w:jc w:val="center"/>
              <w:rPr>
                <w:rFonts w:ascii="Arial" w:eastAsia="Times New Roman" w:hAnsi="Arial" w:cs="Arial"/>
                <w:noProof/>
                <w:sz w:val="20"/>
                <w:szCs w:val="20"/>
              </w:rPr>
            </w:pPr>
            <w:r w:rsidRPr="0057117F">
              <w:rPr>
                <w:rFonts w:ascii="Arial" w:eastAsia="Times New Roman" w:hAnsi="Arial" w:cs="Arial"/>
                <w:noProof/>
                <w:sz w:val="20"/>
                <w:szCs w:val="20"/>
              </w:rPr>
              <w:drawing>
                <wp:anchor distT="0" distB="0" distL="114300" distR="114300" simplePos="0" relativeHeight="251659264" behindDoc="0" locked="0" layoutInCell="1" allowOverlap="1" wp14:anchorId="7F76B716" wp14:editId="085AC241">
                  <wp:simplePos x="0" y="0"/>
                  <wp:positionH relativeFrom="column">
                    <wp:posOffset>3169285</wp:posOffset>
                  </wp:positionH>
                  <wp:positionV relativeFrom="paragraph">
                    <wp:posOffset>-154305</wp:posOffset>
                  </wp:positionV>
                  <wp:extent cx="539750" cy="539750"/>
                  <wp:effectExtent l="0" t="0" r="6350" b="6350"/>
                  <wp:wrapNone/>
                  <wp:docPr id="11" name="Picture 1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3975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1CDAE373" wp14:editId="14547039">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
                            <a:hlinkClick r:id="rId9"/>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14:paraId="480DCB24" w14:textId="77777777" w:rsidR="00F50A9D" w:rsidRPr="00613A83" w:rsidRDefault="00F50A9D" w:rsidP="00F50A9D">
      <w:pPr>
        <w:spacing w:line="276" w:lineRule="auto"/>
        <w:jc w:val="left"/>
        <w:rPr>
          <w:rFonts w:ascii="Arial" w:hAnsi="Arial" w:cs="Arial"/>
          <w:sz w:val="16"/>
          <w:szCs w:val="14"/>
        </w:rPr>
      </w:pPr>
    </w:p>
    <w:tbl>
      <w:tblPr>
        <w:tblW w:w="10773" w:type="dxa"/>
        <w:jc w:val="center"/>
        <w:tblLook w:val="04A0" w:firstRow="1" w:lastRow="0" w:firstColumn="1" w:lastColumn="0" w:noHBand="0" w:noVBand="1"/>
      </w:tblPr>
      <w:tblGrid>
        <w:gridCol w:w="1985"/>
        <w:gridCol w:w="8788"/>
      </w:tblGrid>
      <w:tr w:rsidR="00F50A9D" w:rsidRPr="000F3FFC" w14:paraId="74B7947C" w14:textId="77777777" w:rsidTr="0075226B">
        <w:trPr>
          <w:trHeight w:val="2500"/>
          <w:jc w:val="center"/>
        </w:trPr>
        <w:tc>
          <w:tcPr>
            <w:tcW w:w="1985" w:type="dxa"/>
            <w:shd w:val="clear" w:color="auto" w:fill="FFFFFF"/>
            <w:vAlign w:val="center"/>
          </w:tcPr>
          <w:p w14:paraId="5436EF75" w14:textId="77777777" w:rsidR="00F50A9D" w:rsidRPr="000F3FFC" w:rsidRDefault="00F50A9D" w:rsidP="0075226B">
            <w:pPr>
              <w:spacing w:line="276" w:lineRule="auto"/>
              <w:jc w:val="center"/>
              <w:rPr>
                <w:rFonts w:ascii="Arial" w:hAnsi="Arial" w:cs="Arial"/>
                <w:sz w:val="20"/>
                <w:szCs w:val="20"/>
              </w:rPr>
            </w:pPr>
            <w:r w:rsidRPr="000F3FFC">
              <w:rPr>
                <w:rFonts w:ascii="Arial" w:hAnsi="Arial" w:cs="Arial"/>
                <w:noProof/>
                <w:sz w:val="20"/>
                <w:szCs w:val="20"/>
              </w:rPr>
              <w:drawing>
                <wp:inline distT="0" distB="0" distL="0" distR="0" wp14:anchorId="0661EC17" wp14:editId="75AAD65D">
                  <wp:extent cx="1080135" cy="1440180"/>
                  <wp:effectExtent l="0" t="0" r="5715" b="7620"/>
                  <wp:docPr id="4"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14:paraId="5A8D2B00" w14:textId="77777777" w:rsidR="00F50A9D" w:rsidRPr="00003F35" w:rsidRDefault="00F50A9D" w:rsidP="00F50A9D">
            <w:pPr>
              <w:pStyle w:val="NormalWeb"/>
              <w:jc w:val="both"/>
              <w:rPr>
                <w:rFonts w:ascii="Arial" w:hAnsi="Arial" w:cs="Arial"/>
                <w:color w:val="6C6361"/>
                <w:sz w:val="22"/>
                <w:szCs w:val="22"/>
              </w:rPr>
            </w:pPr>
            <w:r w:rsidRPr="00003F35">
              <w:rPr>
                <w:rFonts w:ascii="Arial" w:hAnsi="Arial" w:cs="Arial"/>
                <w:color w:val="6C6361"/>
                <w:sz w:val="22"/>
                <w:szCs w:val="22"/>
              </w:rPr>
              <w:t xml:space="preserve">Steven Gallagher was awarded a </w:t>
            </w:r>
            <w:proofErr w:type="gramStart"/>
            <w:r w:rsidRPr="00003F35">
              <w:rPr>
                <w:rFonts w:ascii="Arial" w:hAnsi="Arial" w:cs="Arial"/>
                <w:color w:val="6C6361"/>
                <w:sz w:val="22"/>
                <w:szCs w:val="22"/>
              </w:rPr>
              <w:t>first class</w:t>
            </w:r>
            <w:proofErr w:type="gramEnd"/>
            <w:r w:rsidRPr="00003F35">
              <w:rPr>
                <w:rFonts w:ascii="Arial" w:hAnsi="Arial" w:cs="Arial"/>
                <w:color w:val="6C6361"/>
                <w:sz w:val="22"/>
                <w:szCs w:val="22"/>
              </w:rPr>
              <w:t xml:space="preserve"> LL.B.  He was called to the Bar of England and Wales in 2006.  Steven teaches equity and trusts, property law, and a course on art, antiquities, cultural heritage and the law.  In September 2023, Steven began teaching a new course on digital technology and law.  Steven has presented over 200 continuing professional development courses for solicitors in Hong Kong on many topics associated with property.  Steven’s research interests include equity and the law of trusts, cultural heritage law, Chinese custom and law, and legal history.  In 2023, Steven published a textbook on Digital Technology and Law.  He is not a technologist.</w:t>
            </w:r>
          </w:p>
        </w:tc>
      </w:tr>
    </w:tbl>
    <w:p w14:paraId="41C8520E" w14:textId="77777777" w:rsidR="00F50A9D" w:rsidRPr="00613A83" w:rsidRDefault="00F50A9D" w:rsidP="00F50A9D">
      <w:pPr>
        <w:spacing w:line="276" w:lineRule="auto"/>
        <w:jc w:val="left"/>
        <w:rPr>
          <w:rFonts w:ascii="Arial" w:hAnsi="Arial" w:cs="Arial"/>
          <w:sz w:val="16"/>
          <w:szCs w:val="16"/>
        </w:rPr>
      </w:pPr>
    </w:p>
    <w:tbl>
      <w:tblPr>
        <w:tblW w:w="10773" w:type="dxa"/>
        <w:jc w:val="center"/>
        <w:tblBorders>
          <w:bottom w:val="single" w:sz="12" w:space="0" w:color="FFFFFF" w:themeColor="background1"/>
        </w:tblBorders>
        <w:tblLook w:val="04A0" w:firstRow="1" w:lastRow="0" w:firstColumn="1" w:lastColumn="0" w:noHBand="0" w:noVBand="1"/>
      </w:tblPr>
      <w:tblGrid>
        <w:gridCol w:w="5387"/>
        <w:gridCol w:w="3685"/>
        <w:gridCol w:w="1701"/>
      </w:tblGrid>
      <w:tr w:rsidR="00F50A9D" w:rsidRPr="00D507B8" w14:paraId="3FC978BA" w14:textId="77777777" w:rsidTr="0075226B">
        <w:trPr>
          <w:trHeight w:val="2054"/>
          <w:jc w:val="center"/>
        </w:trPr>
        <w:tc>
          <w:tcPr>
            <w:tcW w:w="9072" w:type="dxa"/>
            <w:gridSpan w:val="2"/>
            <w:tcBorders>
              <w:top w:val="nil"/>
              <w:bottom w:val="nil"/>
              <w:right w:val="nil"/>
            </w:tcBorders>
            <w:shd w:val="clear" w:color="auto" w:fill="FFFFFF" w:themeFill="background1"/>
            <w:vAlign w:val="center"/>
          </w:tcPr>
          <w:p w14:paraId="3D00CA6A" w14:textId="77777777" w:rsidR="00F50A9D" w:rsidRPr="00D507B8" w:rsidRDefault="00F50A9D" w:rsidP="0075226B">
            <w:pPr>
              <w:spacing w:line="276" w:lineRule="auto"/>
              <w:rPr>
                <w:rFonts w:ascii="Arial" w:hAnsi="Arial" w:cs="Arial"/>
                <w:color w:val="6C6361"/>
                <w:sz w:val="21"/>
                <w:szCs w:val="21"/>
              </w:rPr>
            </w:pPr>
            <w:r w:rsidRPr="00D507B8">
              <w:rPr>
                <w:rFonts w:ascii="Arial" w:hAnsi="Arial" w:cs="Arial"/>
                <w:color w:val="6C6361"/>
                <w:sz w:val="21"/>
                <w:szCs w:val="21"/>
              </w:rPr>
              <w:t>This 3-hour seminar will provide an introduction to the existing law of charitable trusts in Hong Kong and the legislative changes to this area of the law that were proposed in 2013.  The seminar will begin with consideration of the existing law of charitable trusts in Hong Kong, including the benefits of charitable status for a trust and the requirements for charitable status. The seminar will then consider the problems with the modern law of charitable trusts in Hong Kong as identified in the Law Reform Commission’s public consultation report published in 2013 and the recommendations on proposed legislative changes.</w:t>
            </w:r>
          </w:p>
        </w:tc>
        <w:tc>
          <w:tcPr>
            <w:tcW w:w="1701" w:type="dxa"/>
            <w:tcBorders>
              <w:top w:val="nil"/>
              <w:left w:val="nil"/>
              <w:bottom w:val="nil"/>
            </w:tcBorders>
            <w:shd w:val="clear" w:color="auto" w:fill="FFFFFF" w:themeFill="background1"/>
            <w:vAlign w:val="center"/>
          </w:tcPr>
          <w:p w14:paraId="62620A7D" w14:textId="77777777" w:rsidR="00F50A9D" w:rsidRPr="00423ED9" w:rsidRDefault="00F50A9D" w:rsidP="0075226B">
            <w:pPr>
              <w:spacing w:line="276" w:lineRule="auto"/>
              <w:jc w:val="center"/>
              <w:rPr>
                <w:rFonts w:ascii="Arial" w:hAnsi="Arial" w:cs="Arial"/>
                <w:color w:val="6C6361"/>
                <w:sz w:val="10"/>
                <w:szCs w:val="10"/>
              </w:rPr>
            </w:pPr>
          </w:p>
          <w:p w14:paraId="66395046" w14:textId="77777777" w:rsidR="00F50A9D" w:rsidRPr="00D507B8" w:rsidRDefault="00F50A9D" w:rsidP="0075226B">
            <w:pPr>
              <w:spacing w:line="276" w:lineRule="auto"/>
              <w:jc w:val="center"/>
              <w:rPr>
                <w:rFonts w:ascii="Arial" w:hAnsi="Arial" w:cs="Arial"/>
                <w:color w:val="6C6361"/>
                <w:sz w:val="21"/>
                <w:szCs w:val="21"/>
              </w:rPr>
            </w:pPr>
            <w:r w:rsidRPr="0057117F">
              <w:rPr>
                <w:rFonts w:ascii="Arial" w:hAnsi="Arial" w:cs="Arial"/>
                <w:noProof/>
                <w:color w:val="6C6361"/>
                <w:sz w:val="21"/>
                <w:szCs w:val="21"/>
              </w:rPr>
              <w:drawing>
                <wp:inline distT="0" distB="0" distL="0" distR="0" wp14:anchorId="35EEADD7" wp14:editId="208FD4EB">
                  <wp:extent cx="892799" cy="10216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892799" cy="1021690"/>
                          </a:xfrm>
                          <a:prstGeom prst="rect">
                            <a:avLst/>
                          </a:prstGeom>
                          <a:noFill/>
                          <a:ln>
                            <a:noFill/>
                          </a:ln>
                        </pic:spPr>
                      </pic:pic>
                    </a:graphicData>
                  </a:graphic>
                </wp:inline>
              </w:drawing>
            </w:r>
          </w:p>
        </w:tc>
      </w:tr>
      <w:tr w:rsidR="00F50A9D" w:rsidRPr="00D507B8" w14:paraId="5FC5F393" w14:textId="77777777" w:rsidTr="0075226B">
        <w:trPr>
          <w:trHeight w:val="397"/>
          <w:jc w:val="center"/>
        </w:trPr>
        <w:tc>
          <w:tcPr>
            <w:tcW w:w="10773" w:type="dxa"/>
            <w:gridSpan w:val="3"/>
            <w:tcBorders>
              <w:top w:val="nil"/>
              <w:bottom w:val="nil"/>
              <w:right w:val="nil"/>
            </w:tcBorders>
            <w:shd w:val="clear" w:color="auto" w:fill="F0EBE1"/>
            <w:vAlign w:val="center"/>
          </w:tcPr>
          <w:p w14:paraId="2F29559B" w14:textId="77777777" w:rsidR="00F50A9D" w:rsidRPr="00D507B8" w:rsidRDefault="00F50A9D" w:rsidP="0075226B">
            <w:pPr>
              <w:spacing w:line="276" w:lineRule="auto"/>
              <w:rPr>
                <w:rFonts w:ascii="Arial" w:hAnsi="Arial" w:cs="Arial"/>
                <w:b/>
                <w:color w:val="524B48"/>
                <w:sz w:val="21"/>
                <w:szCs w:val="21"/>
              </w:rPr>
            </w:pPr>
            <w:r w:rsidRPr="00D507B8">
              <w:rPr>
                <w:rFonts w:ascii="Arial" w:hAnsi="Arial" w:cs="Arial"/>
                <w:b/>
                <w:color w:val="524B48"/>
                <w:sz w:val="21"/>
                <w:szCs w:val="21"/>
              </w:rPr>
              <w:t>Some of the topics considered in this seminar will be:</w:t>
            </w:r>
          </w:p>
        </w:tc>
      </w:tr>
      <w:tr w:rsidR="00F50A9D" w:rsidRPr="00D507B8" w14:paraId="77728574" w14:textId="77777777" w:rsidTr="0075226B">
        <w:trPr>
          <w:trHeight w:val="2018"/>
          <w:jc w:val="center"/>
        </w:trPr>
        <w:tc>
          <w:tcPr>
            <w:tcW w:w="5387" w:type="dxa"/>
            <w:tcBorders>
              <w:top w:val="nil"/>
              <w:bottom w:val="nil"/>
            </w:tcBorders>
            <w:shd w:val="clear" w:color="auto" w:fill="FFFFFF" w:themeFill="background1"/>
            <w:vAlign w:val="center"/>
          </w:tcPr>
          <w:p w14:paraId="481E2731" w14:textId="77777777" w:rsidR="00F50A9D" w:rsidRPr="00D507B8" w:rsidRDefault="00F50A9D" w:rsidP="0075226B">
            <w:pPr>
              <w:pStyle w:val="ListParagraph"/>
              <w:numPr>
                <w:ilvl w:val="0"/>
                <w:numId w:val="1"/>
              </w:numPr>
              <w:spacing w:line="276" w:lineRule="auto"/>
              <w:rPr>
                <w:rFonts w:ascii="Arial" w:hAnsi="Arial" w:cs="Arial"/>
                <w:color w:val="6C6361"/>
                <w:sz w:val="21"/>
                <w:szCs w:val="21"/>
              </w:rPr>
            </w:pPr>
            <w:r w:rsidRPr="00D507B8">
              <w:rPr>
                <w:rFonts w:ascii="Arial" w:hAnsi="Arial" w:cs="Arial"/>
                <w:color w:val="6C6361"/>
                <w:sz w:val="21"/>
                <w:szCs w:val="21"/>
              </w:rPr>
              <w:t>The beneficiary principle and the problem with purpose trusts;</w:t>
            </w:r>
          </w:p>
          <w:p w14:paraId="47D26601" w14:textId="77777777" w:rsidR="00F50A9D" w:rsidRPr="00D507B8" w:rsidRDefault="00F50A9D" w:rsidP="0075226B">
            <w:pPr>
              <w:pStyle w:val="ListParagraph"/>
              <w:numPr>
                <w:ilvl w:val="0"/>
                <w:numId w:val="1"/>
              </w:numPr>
              <w:spacing w:line="276" w:lineRule="auto"/>
              <w:rPr>
                <w:rFonts w:ascii="Arial" w:hAnsi="Arial" w:cs="Arial"/>
                <w:color w:val="6C6361"/>
                <w:sz w:val="21"/>
                <w:szCs w:val="21"/>
              </w:rPr>
            </w:pPr>
            <w:r w:rsidRPr="00D507B8">
              <w:rPr>
                <w:rFonts w:ascii="Arial" w:hAnsi="Arial" w:cs="Arial"/>
                <w:color w:val="6C6361"/>
                <w:sz w:val="21"/>
                <w:szCs w:val="21"/>
              </w:rPr>
              <w:t>The benefits of charitable status for trusts;</w:t>
            </w:r>
          </w:p>
          <w:p w14:paraId="6DA02115" w14:textId="77777777" w:rsidR="00F50A9D" w:rsidRPr="00D507B8" w:rsidRDefault="00F50A9D" w:rsidP="0075226B">
            <w:pPr>
              <w:pStyle w:val="ListParagraph"/>
              <w:numPr>
                <w:ilvl w:val="0"/>
                <w:numId w:val="1"/>
              </w:numPr>
              <w:spacing w:line="276" w:lineRule="auto"/>
              <w:rPr>
                <w:rFonts w:ascii="Arial" w:hAnsi="Arial" w:cs="Arial"/>
                <w:color w:val="6C6361"/>
                <w:sz w:val="21"/>
                <w:szCs w:val="21"/>
              </w:rPr>
            </w:pPr>
            <w:r w:rsidRPr="00D507B8">
              <w:rPr>
                <w:rFonts w:ascii="Arial" w:hAnsi="Arial" w:cs="Arial"/>
                <w:color w:val="6C6361"/>
                <w:sz w:val="21"/>
                <w:szCs w:val="21"/>
              </w:rPr>
              <w:t>Problems with charitable trusts;</w:t>
            </w:r>
          </w:p>
          <w:p w14:paraId="332211F9" w14:textId="77777777" w:rsidR="00F50A9D" w:rsidRPr="00D507B8" w:rsidRDefault="00F50A9D" w:rsidP="0075226B">
            <w:pPr>
              <w:pStyle w:val="ListParagraph"/>
              <w:numPr>
                <w:ilvl w:val="0"/>
                <w:numId w:val="1"/>
              </w:numPr>
              <w:spacing w:line="276" w:lineRule="auto"/>
              <w:rPr>
                <w:rFonts w:ascii="Arial" w:hAnsi="Arial" w:cs="Arial"/>
                <w:color w:val="6C6361"/>
                <w:sz w:val="21"/>
                <w:szCs w:val="21"/>
              </w:rPr>
            </w:pPr>
            <w:r w:rsidRPr="00D507B8">
              <w:rPr>
                <w:rFonts w:ascii="Arial" w:hAnsi="Arial" w:cs="Arial"/>
                <w:color w:val="6C6361"/>
                <w:sz w:val="21"/>
                <w:szCs w:val="21"/>
              </w:rPr>
              <w:t>The definition of charity;</w:t>
            </w:r>
          </w:p>
          <w:p w14:paraId="3D18544D" w14:textId="77777777" w:rsidR="00F50A9D" w:rsidRPr="00D507B8" w:rsidRDefault="00F50A9D" w:rsidP="0075226B">
            <w:pPr>
              <w:pStyle w:val="ListParagraph"/>
              <w:numPr>
                <w:ilvl w:val="0"/>
                <w:numId w:val="1"/>
              </w:numPr>
              <w:spacing w:line="276" w:lineRule="auto"/>
              <w:rPr>
                <w:rFonts w:ascii="Arial" w:hAnsi="Arial" w:cs="Arial"/>
                <w:color w:val="6C6361"/>
                <w:sz w:val="21"/>
                <w:szCs w:val="21"/>
              </w:rPr>
            </w:pPr>
            <w:r w:rsidRPr="00D507B8">
              <w:rPr>
                <w:rFonts w:ascii="Arial" w:hAnsi="Arial" w:cs="Arial"/>
                <w:color w:val="6C6361"/>
                <w:sz w:val="21"/>
                <w:szCs w:val="21"/>
              </w:rPr>
              <w:t>Categories of charitable purpose;</w:t>
            </w:r>
          </w:p>
          <w:p w14:paraId="6966D574" w14:textId="77777777" w:rsidR="00F50A9D" w:rsidRPr="00D507B8" w:rsidRDefault="00F50A9D" w:rsidP="0075226B">
            <w:pPr>
              <w:pStyle w:val="ListParagraph"/>
              <w:numPr>
                <w:ilvl w:val="0"/>
                <w:numId w:val="1"/>
              </w:numPr>
              <w:spacing w:line="276" w:lineRule="auto"/>
              <w:rPr>
                <w:rFonts w:ascii="Arial" w:hAnsi="Arial" w:cs="Arial"/>
                <w:color w:val="6C6361"/>
                <w:sz w:val="21"/>
                <w:szCs w:val="21"/>
              </w:rPr>
            </w:pPr>
            <w:r w:rsidRPr="00D507B8">
              <w:rPr>
                <w:rFonts w:ascii="Arial" w:hAnsi="Arial" w:cs="Arial"/>
                <w:color w:val="6C6361"/>
                <w:sz w:val="21"/>
                <w:szCs w:val="21"/>
              </w:rPr>
              <w:t>The public benefit requirement;</w:t>
            </w:r>
          </w:p>
        </w:tc>
        <w:tc>
          <w:tcPr>
            <w:tcW w:w="5386" w:type="dxa"/>
            <w:gridSpan w:val="2"/>
            <w:tcBorders>
              <w:top w:val="nil"/>
              <w:bottom w:val="nil"/>
              <w:right w:val="nil"/>
            </w:tcBorders>
            <w:shd w:val="clear" w:color="auto" w:fill="FFFFFF" w:themeFill="background1"/>
            <w:vAlign w:val="center"/>
          </w:tcPr>
          <w:p w14:paraId="2917A7EC" w14:textId="77777777" w:rsidR="00F50A9D" w:rsidRPr="00D507B8" w:rsidRDefault="00F50A9D" w:rsidP="0075226B">
            <w:pPr>
              <w:pStyle w:val="ListParagraph"/>
              <w:numPr>
                <w:ilvl w:val="0"/>
                <w:numId w:val="1"/>
              </w:numPr>
              <w:spacing w:line="276" w:lineRule="auto"/>
              <w:rPr>
                <w:rFonts w:ascii="Arial" w:hAnsi="Arial" w:cs="Arial"/>
                <w:color w:val="6C6361"/>
                <w:sz w:val="21"/>
                <w:szCs w:val="21"/>
              </w:rPr>
            </w:pPr>
            <w:r w:rsidRPr="00D507B8">
              <w:rPr>
                <w:rFonts w:ascii="Arial" w:hAnsi="Arial" w:cs="Arial"/>
                <w:color w:val="6C6361"/>
                <w:sz w:val="21"/>
                <w:szCs w:val="21"/>
              </w:rPr>
              <w:t>The poor relative and poor employee exceptions;</w:t>
            </w:r>
          </w:p>
          <w:p w14:paraId="0B91C7FA" w14:textId="77777777" w:rsidR="00F50A9D" w:rsidRPr="00D507B8" w:rsidRDefault="00F50A9D" w:rsidP="0075226B">
            <w:pPr>
              <w:pStyle w:val="ListParagraph"/>
              <w:numPr>
                <w:ilvl w:val="0"/>
                <w:numId w:val="1"/>
              </w:numPr>
              <w:spacing w:line="276" w:lineRule="auto"/>
              <w:rPr>
                <w:rFonts w:ascii="Arial" w:hAnsi="Arial" w:cs="Arial"/>
                <w:color w:val="6C6361"/>
                <w:sz w:val="21"/>
                <w:szCs w:val="21"/>
              </w:rPr>
            </w:pPr>
            <w:r w:rsidRPr="00D507B8">
              <w:rPr>
                <w:rFonts w:ascii="Arial" w:hAnsi="Arial" w:cs="Arial"/>
                <w:color w:val="6C6361"/>
                <w:sz w:val="21"/>
                <w:szCs w:val="21"/>
              </w:rPr>
              <w:t>Mixed private and public purposes;</w:t>
            </w:r>
          </w:p>
          <w:p w14:paraId="72B180FB" w14:textId="77777777" w:rsidR="00F50A9D" w:rsidRPr="00D507B8" w:rsidRDefault="00F50A9D" w:rsidP="0075226B">
            <w:pPr>
              <w:pStyle w:val="ListParagraph"/>
              <w:numPr>
                <w:ilvl w:val="0"/>
                <w:numId w:val="1"/>
              </w:numPr>
              <w:spacing w:line="276" w:lineRule="auto"/>
              <w:rPr>
                <w:rFonts w:ascii="Arial" w:hAnsi="Arial" w:cs="Arial"/>
                <w:color w:val="6C6361"/>
                <w:sz w:val="21"/>
                <w:szCs w:val="21"/>
              </w:rPr>
            </w:pPr>
            <w:r w:rsidRPr="00D507B8">
              <w:rPr>
                <w:rFonts w:ascii="Arial" w:hAnsi="Arial" w:cs="Arial"/>
                <w:color w:val="6C6361"/>
                <w:sz w:val="21"/>
                <w:szCs w:val="21"/>
              </w:rPr>
              <w:t>Proposed changes to the oversight of charitable trusts;</w:t>
            </w:r>
          </w:p>
          <w:p w14:paraId="1EAE221C" w14:textId="77777777" w:rsidR="00F50A9D" w:rsidRPr="00D507B8" w:rsidRDefault="00F50A9D" w:rsidP="0075226B">
            <w:pPr>
              <w:pStyle w:val="ListParagraph"/>
              <w:numPr>
                <w:ilvl w:val="0"/>
                <w:numId w:val="1"/>
              </w:numPr>
              <w:spacing w:line="276" w:lineRule="auto"/>
              <w:rPr>
                <w:rFonts w:ascii="Arial" w:hAnsi="Arial" w:cs="Arial"/>
                <w:color w:val="6C6361"/>
                <w:sz w:val="21"/>
                <w:szCs w:val="21"/>
              </w:rPr>
            </w:pPr>
            <w:r w:rsidRPr="00D507B8">
              <w:rPr>
                <w:rFonts w:ascii="Arial" w:hAnsi="Arial" w:cs="Arial"/>
                <w:color w:val="6C6361"/>
                <w:sz w:val="21"/>
                <w:szCs w:val="21"/>
              </w:rPr>
              <w:t>The potential civil and criminal liabilities of trustees of charitable trusts;</w:t>
            </w:r>
          </w:p>
          <w:p w14:paraId="195F48A4" w14:textId="77777777" w:rsidR="00F50A9D" w:rsidRPr="00D507B8" w:rsidRDefault="00F50A9D" w:rsidP="0075226B">
            <w:pPr>
              <w:pStyle w:val="ListParagraph"/>
              <w:numPr>
                <w:ilvl w:val="0"/>
                <w:numId w:val="1"/>
              </w:numPr>
              <w:spacing w:line="276" w:lineRule="auto"/>
              <w:rPr>
                <w:rFonts w:ascii="Arial" w:hAnsi="Arial" w:cs="Arial"/>
                <w:color w:val="6C6361"/>
                <w:sz w:val="21"/>
                <w:szCs w:val="21"/>
              </w:rPr>
            </w:pPr>
            <w:r w:rsidRPr="00D507B8">
              <w:rPr>
                <w:rFonts w:ascii="Arial" w:hAnsi="Arial" w:cs="Arial"/>
                <w:color w:val="6C6361"/>
                <w:sz w:val="21"/>
                <w:szCs w:val="21"/>
              </w:rPr>
              <w:t>A brief consideration of the doctrine of cy-</w:t>
            </w:r>
            <w:proofErr w:type="spellStart"/>
            <w:r w:rsidRPr="00D507B8">
              <w:rPr>
                <w:rFonts w:ascii="Arial" w:hAnsi="Arial" w:cs="Arial"/>
                <w:color w:val="6C6361"/>
                <w:sz w:val="21"/>
                <w:szCs w:val="21"/>
              </w:rPr>
              <w:t>près</w:t>
            </w:r>
            <w:proofErr w:type="spellEnd"/>
            <w:r w:rsidRPr="00D507B8">
              <w:rPr>
                <w:rFonts w:ascii="Arial" w:hAnsi="Arial" w:cs="Arial"/>
                <w:color w:val="6C6361"/>
                <w:sz w:val="21"/>
                <w:szCs w:val="21"/>
              </w:rPr>
              <w:t>.</w:t>
            </w:r>
          </w:p>
        </w:tc>
      </w:tr>
    </w:tbl>
    <w:p w14:paraId="37677BF3" w14:textId="77777777" w:rsidR="00BD27EA" w:rsidRPr="00F50A9D" w:rsidRDefault="00BD27EA" w:rsidP="009D6585">
      <w:pPr>
        <w:spacing w:line="276" w:lineRule="auto"/>
        <w:rPr>
          <w:rFonts w:ascii="Arial" w:hAnsi="Arial" w:cs="Arial"/>
          <w:sz w:val="16"/>
          <w:szCs w:val="12"/>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1"/>
        <w:gridCol w:w="1274"/>
      </w:tblGrid>
      <w:tr w:rsidR="00F50A9D" w:rsidRPr="00B90951" w14:paraId="20C18A4F" w14:textId="77777777" w:rsidTr="0086738B">
        <w:trPr>
          <w:trHeight w:val="397"/>
          <w:jc w:val="center"/>
        </w:trPr>
        <w:tc>
          <w:tcPr>
            <w:tcW w:w="1701" w:type="dxa"/>
            <w:tcBorders>
              <w:top w:val="nil"/>
              <w:left w:val="nil"/>
              <w:bottom w:val="single" w:sz="12" w:space="0" w:color="FFFFFF"/>
            </w:tcBorders>
            <w:shd w:val="clear" w:color="auto" w:fill="F0EBE1"/>
            <w:vAlign w:val="center"/>
          </w:tcPr>
          <w:p w14:paraId="2FB521BD" w14:textId="2EF68AC1" w:rsidR="00F50A9D" w:rsidRPr="00320F79" w:rsidRDefault="00F50A9D" w:rsidP="00F50A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14:paraId="52DC2F1E" w14:textId="26AA2C0B" w:rsidR="00F50A9D" w:rsidRPr="00320F79" w:rsidRDefault="00F50A9D" w:rsidP="00F50A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EVT000000424</w:t>
            </w:r>
          </w:p>
        </w:tc>
        <w:tc>
          <w:tcPr>
            <w:tcW w:w="1701" w:type="dxa"/>
            <w:tcBorders>
              <w:top w:val="nil"/>
              <w:bottom w:val="single" w:sz="12" w:space="0" w:color="FFFFFF"/>
            </w:tcBorders>
            <w:shd w:val="clear" w:color="auto" w:fill="F0EBE1"/>
            <w:vAlign w:val="center"/>
          </w:tcPr>
          <w:p w14:paraId="64087B78" w14:textId="66472ABA" w:rsidR="00F50A9D" w:rsidRPr="00320F79" w:rsidRDefault="00F50A9D" w:rsidP="00F50A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14:paraId="3475A82D" w14:textId="334DF0A9" w:rsidR="00F50A9D" w:rsidRPr="00320F79" w:rsidRDefault="00F50A9D" w:rsidP="00F50A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F50A9D" w:rsidRPr="00B90951" w14:paraId="5E3C30C3" w14:textId="77777777" w:rsidTr="0086738B">
        <w:trPr>
          <w:trHeight w:val="397"/>
          <w:jc w:val="center"/>
        </w:trPr>
        <w:tc>
          <w:tcPr>
            <w:tcW w:w="1701" w:type="dxa"/>
            <w:tcBorders>
              <w:top w:val="single" w:sz="12" w:space="0" w:color="FFFFFF"/>
              <w:left w:val="nil"/>
              <w:bottom w:val="single" w:sz="12" w:space="0" w:color="FFFFFF"/>
            </w:tcBorders>
            <w:shd w:val="clear" w:color="auto" w:fill="F0EBE1"/>
            <w:vAlign w:val="center"/>
          </w:tcPr>
          <w:p w14:paraId="3BE3C8E0" w14:textId="6E427647" w:rsidR="00F50A9D" w:rsidRPr="00320F79" w:rsidRDefault="00F50A9D" w:rsidP="00F50A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14:paraId="2C9DFA7D" w14:textId="04629FB7" w:rsidR="00F50A9D" w:rsidRPr="00682661" w:rsidRDefault="00F50A9D" w:rsidP="00F50A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16 October 2023 (Monday)</w:t>
            </w:r>
          </w:p>
        </w:tc>
        <w:tc>
          <w:tcPr>
            <w:tcW w:w="1701" w:type="dxa"/>
            <w:tcBorders>
              <w:top w:val="single" w:sz="12" w:space="0" w:color="FFFFFF"/>
              <w:bottom w:val="single" w:sz="12" w:space="0" w:color="FFFFFF"/>
            </w:tcBorders>
            <w:shd w:val="clear" w:color="auto" w:fill="F0EBE1"/>
            <w:vAlign w:val="center"/>
          </w:tcPr>
          <w:p w14:paraId="439F6154" w14:textId="4F36626B" w:rsidR="00F50A9D" w:rsidRPr="00320F79" w:rsidRDefault="00F50A9D" w:rsidP="00F50A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14:paraId="5465BE23" w14:textId="32F1B2CB" w:rsidR="00F50A9D" w:rsidRPr="00320F79" w:rsidRDefault="00F50A9D" w:rsidP="00F50A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F50A9D" w:rsidRPr="00B90951" w14:paraId="034433B1" w14:textId="77777777" w:rsidTr="0086738B">
        <w:trPr>
          <w:trHeight w:val="397"/>
          <w:jc w:val="center"/>
        </w:trPr>
        <w:tc>
          <w:tcPr>
            <w:tcW w:w="1701" w:type="dxa"/>
            <w:tcBorders>
              <w:top w:val="single" w:sz="12" w:space="0" w:color="FFFFFF"/>
              <w:left w:val="nil"/>
              <w:bottom w:val="single" w:sz="12" w:space="0" w:color="FFFFFF"/>
            </w:tcBorders>
            <w:shd w:val="clear" w:color="auto" w:fill="F0EBE1"/>
            <w:vAlign w:val="center"/>
          </w:tcPr>
          <w:p w14:paraId="46277FD5" w14:textId="290BCAEF" w:rsidR="00F50A9D" w:rsidRPr="00320F79" w:rsidRDefault="00F50A9D" w:rsidP="00F50A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14:paraId="21234361" w14:textId="77777777" w:rsidR="00F50A9D" w:rsidRPr="00320F79" w:rsidRDefault="00F50A9D" w:rsidP="00F50A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w:t>
            </w:r>
            <w:r w:rsidRPr="00320F79">
              <w:rPr>
                <w:rFonts w:ascii="Arial" w:hAnsi="Arial" w:cs="Arial"/>
                <w:b/>
                <w:color w:val="6C6361"/>
                <w:sz w:val="20"/>
                <w:szCs w:val="20"/>
              </w:rPr>
              <w:t>:30 - 1</w:t>
            </w:r>
            <w:r>
              <w:rPr>
                <w:rFonts w:ascii="Arial" w:hAnsi="Arial" w:cs="Arial"/>
                <w:b/>
                <w:color w:val="6C6361"/>
                <w:sz w:val="20"/>
                <w:szCs w:val="20"/>
              </w:rPr>
              <w:t>7</w:t>
            </w:r>
            <w:r w:rsidRPr="00320F79">
              <w:rPr>
                <w:rFonts w:ascii="Arial" w:hAnsi="Arial" w:cs="Arial"/>
                <w:b/>
                <w:color w:val="6C6361"/>
                <w:sz w:val="20"/>
                <w:szCs w:val="20"/>
              </w:rPr>
              <w:t>:45</w:t>
            </w:r>
          </w:p>
          <w:p w14:paraId="1DB2E5A6" w14:textId="60DC9669" w:rsidR="00F50A9D" w:rsidRPr="00320F79" w:rsidRDefault="00F50A9D" w:rsidP="00F50A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14</w:t>
            </w:r>
            <w:r w:rsidRPr="00320F79">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14:paraId="7320D15E" w14:textId="068286A0" w:rsidR="00F50A9D" w:rsidRPr="00320F79" w:rsidRDefault="00F50A9D" w:rsidP="00F50A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14:paraId="4D0CE89A" w14:textId="5CD5D162" w:rsidR="00F50A9D" w:rsidRPr="00682661" w:rsidRDefault="00F50A9D" w:rsidP="00F50A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LSHK 3.0 CPD Points</w:t>
            </w:r>
          </w:p>
        </w:tc>
      </w:tr>
      <w:tr w:rsidR="009D6585" w:rsidRPr="00B90951" w14:paraId="4E0C1FE3" w14:textId="77777777" w:rsidTr="0086738B">
        <w:trPr>
          <w:trHeight w:val="397"/>
          <w:jc w:val="center"/>
        </w:trPr>
        <w:tc>
          <w:tcPr>
            <w:tcW w:w="1701" w:type="dxa"/>
            <w:tcBorders>
              <w:top w:val="single" w:sz="12" w:space="0" w:color="FFFFFF"/>
              <w:left w:val="nil"/>
              <w:bottom w:val="nil"/>
            </w:tcBorders>
            <w:shd w:val="clear" w:color="auto" w:fill="F0EBE1"/>
            <w:vAlign w:val="center"/>
          </w:tcPr>
          <w:p w14:paraId="6A7FB54F" w14:textId="77777777" w:rsidR="009D6585" w:rsidRPr="00B9095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14:paraId="405B97C1" w14:textId="77777777" w:rsidR="009D6585" w:rsidRDefault="009D6585" w:rsidP="001539DF">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i/>
                <w:color w:val="6C6361"/>
                <w:sz w:val="20"/>
                <w:szCs w:val="20"/>
              </w:rPr>
            </w:pPr>
            <w:r w:rsidRPr="002D6743">
              <w:rPr>
                <w:rFonts w:ascii="Arial" w:hAnsi="Arial" w:cs="Arial"/>
                <w:i/>
                <w:color w:val="6C6361"/>
                <w:sz w:val="20"/>
                <w:szCs w:val="20"/>
              </w:rPr>
              <w:t>Option of</w:t>
            </w:r>
            <w:r>
              <w:rPr>
                <w:rFonts w:ascii="Arial" w:hAnsi="Arial" w:cs="Arial"/>
                <w:i/>
                <w:color w:val="6C6361"/>
                <w:sz w:val="20"/>
                <w:szCs w:val="20"/>
              </w:rPr>
              <w:t>:</w:t>
            </w:r>
          </w:p>
          <w:p w14:paraId="14D9A1DB" w14:textId="77777777" w:rsidR="009D6585" w:rsidRPr="002D6743" w:rsidRDefault="009D6585" w:rsidP="001539DF">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i/>
                <w:color w:val="6C6361"/>
                <w:sz w:val="20"/>
                <w:szCs w:val="20"/>
              </w:rPr>
            </w:pPr>
            <w:r w:rsidRPr="002D6743">
              <w:rPr>
                <w:rFonts w:ascii="Arial" w:hAnsi="Arial" w:cs="Arial"/>
                <w:color w:val="6C6361"/>
                <w:sz w:val="20"/>
                <w:szCs w:val="20"/>
              </w:rPr>
              <w:t>(1)</w:t>
            </w:r>
            <w:r>
              <w:rPr>
                <w:rFonts w:ascii="Arial" w:hAnsi="Arial" w:cs="Arial"/>
                <w:b/>
                <w:color w:val="6C6361"/>
                <w:sz w:val="20"/>
                <w:szCs w:val="20"/>
              </w:rPr>
              <w:t xml:space="preserve"> </w:t>
            </w:r>
            <w:r w:rsidRPr="002D6743">
              <w:rPr>
                <w:rFonts w:ascii="Arial" w:hAnsi="Arial" w:cs="Arial"/>
                <w:b/>
                <w:color w:val="6C6361"/>
                <w:sz w:val="20"/>
                <w:szCs w:val="20"/>
              </w:rPr>
              <w:t>Online</w:t>
            </w:r>
            <w:r w:rsidRPr="002D6743">
              <w:rPr>
                <w:rFonts w:ascii="Arial" w:hAnsi="Arial" w:cs="Arial"/>
                <w:color w:val="6C6361"/>
                <w:sz w:val="20"/>
                <w:szCs w:val="20"/>
              </w:rPr>
              <w:t xml:space="preserve"> via Zoom</w:t>
            </w:r>
            <w:r>
              <w:rPr>
                <w:rFonts w:ascii="Arial" w:hAnsi="Arial" w:cs="Arial"/>
                <w:color w:val="6C6361"/>
                <w:sz w:val="20"/>
                <w:szCs w:val="20"/>
              </w:rPr>
              <w:t xml:space="preserve">; </w:t>
            </w:r>
            <w:r w:rsidRPr="002D6743">
              <w:rPr>
                <w:rFonts w:ascii="Arial" w:hAnsi="Arial" w:cs="Arial"/>
                <w:i/>
                <w:color w:val="6C6361"/>
                <w:sz w:val="20"/>
                <w:szCs w:val="20"/>
              </w:rPr>
              <w:t>or</w:t>
            </w:r>
          </w:p>
          <w:p w14:paraId="7C2300C2" w14:textId="77777777" w:rsidR="009D6585" w:rsidRPr="00B90951" w:rsidRDefault="009D6585" w:rsidP="001539DF">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2D6743">
              <w:rPr>
                <w:rFonts w:ascii="Arial" w:hAnsi="Arial" w:cs="Arial"/>
                <w:color w:val="6C6361"/>
                <w:sz w:val="20"/>
                <w:szCs w:val="20"/>
              </w:rPr>
              <w:t xml:space="preserve">(2) </w:t>
            </w:r>
            <w:r w:rsidRPr="00B90951">
              <w:rPr>
                <w:rFonts w:ascii="Arial" w:hAnsi="Arial" w:cs="Arial"/>
                <w:b/>
                <w:color w:val="6C6361"/>
                <w:sz w:val="20"/>
                <w:szCs w:val="20"/>
              </w:rPr>
              <w:fldChar w:fldCharType="begin"/>
            </w:r>
            <w:r w:rsidRPr="00B90951">
              <w:rPr>
                <w:rFonts w:ascii="Arial" w:hAnsi="Arial" w:cs="Arial"/>
                <w:b/>
                <w:color w:val="6C6361"/>
                <w:sz w:val="20"/>
                <w:szCs w:val="20"/>
              </w:rPr>
              <w:instrText xml:space="preserve"> HYPERLINK "http://goo.gl/maps/DKYQ1" </w:instrText>
            </w:r>
            <w:r w:rsidRPr="00B90951">
              <w:rPr>
                <w:rFonts w:ascii="Arial" w:hAnsi="Arial" w:cs="Arial"/>
                <w:b/>
                <w:color w:val="6C6361"/>
                <w:sz w:val="20"/>
                <w:szCs w:val="20"/>
              </w:rPr>
              <w:fldChar w:fldCharType="separate"/>
            </w:r>
            <w:r w:rsidRPr="00B90951">
              <w:rPr>
                <w:rStyle w:val="Hyperlink"/>
                <w:rFonts w:ascii="Arial" w:hAnsi="Arial" w:cs="Arial"/>
                <w:b/>
                <w:color w:val="6C6361"/>
                <w:sz w:val="20"/>
                <w:szCs w:val="20"/>
                <w:u w:val="none"/>
              </w:rPr>
              <w:t>Kornerstone Institute</w:t>
            </w:r>
          </w:p>
          <w:p w14:paraId="65E10723" w14:textId="77777777" w:rsidR="009D6585" w:rsidRPr="00B9095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15/F, Hip Shing Hong Centre</w:t>
            </w:r>
          </w:p>
          <w:p w14:paraId="04DBC2E1" w14:textId="77777777" w:rsidR="009D6585" w:rsidRPr="00B9095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55 Des Voeux Road Central</w:t>
            </w:r>
          </w:p>
          <w:p w14:paraId="7DCFDA32" w14:textId="77777777" w:rsidR="009D6585" w:rsidRPr="00B9095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B90951">
              <w:rPr>
                <w:rStyle w:val="Hyperlink"/>
                <w:rFonts w:ascii="Arial" w:hAnsi="Arial" w:cs="Arial"/>
                <w:color w:val="6C6361"/>
                <w:sz w:val="20"/>
                <w:szCs w:val="20"/>
                <w:u w:val="none"/>
              </w:rPr>
              <w:t>Central, Hong Kong</w:t>
            </w:r>
            <w:r w:rsidRPr="00B90951">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14:paraId="29F2B3AA" w14:textId="77777777" w:rsidR="009D6585" w:rsidRPr="00B90951" w:rsidRDefault="009D6585" w:rsidP="001539DF">
            <w:pPr>
              <w:jc w:val="right"/>
              <w:rPr>
                <w:rFonts w:ascii="Arial" w:hAnsi="Arial" w:cs="Arial"/>
                <w:b/>
                <w:color w:val="6C6361"/>
                <w:sz w:val="20"/>
                <w:szCs w:val="20"/>
              </w:rPr>
            </w:pPr>
            <w:r w:rsidRPr="00B90951">
              <w:rPr>
                <w:rFonts w:ascii="Arial" w:hAnsi="Arial" w:cs="Arial"/>
                <w:b/>
                <w:noProof/>
                <w:color w:val="6C6361"/>
                <w:sz w:val="20"/>
                <w:szCs w:val="20"/>
              </w:rPr>
              <w:drawing>
                <wp:inline distT="0" distB="0" distL="0" distR="0" wp14:anchorId="1D018B43" wp14:editId="5F4848E1">
                  <wp:extent cx="360000" cy="360000"/>
                  <wp:effectExtent l="0" t="0" r="0" b="0"/>
                  <wp:docPr id="9" name="Picture 9">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14:paraId="5EE35234" w14:textId="77777777" w:rsidR="009D6585" w:rsidRPr="00B90951" w:rsidRDefault="009D6585" w:rsidP="001539DF">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14:paraId="51D57FBD" w14:textId="77777777" w:rsidR="009D6585" w:rsidRPr="003A2A4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14:paraId="06925041" w14:textId="77777777" w:rsidR="009D6585" w:rsidRPr="003A2A4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11" w:type="dxa"/>
            <w:tcBorders>
              <w:top w:val="single" w:sz="12" w:space="0" w:color="F0EBE1"/>
              <w:bottom w:val="nil"/>
              <w:right w:val="nil"/>
            </w:tcBorders>
            <w:shd w:val="clear" w:color="auto" w:fill="FFFFFF"/>
            <w:vAlign w:val="center"/>
          </w:tcPr>
          <w:p w14:paraId="361D71E1" w14:textId="77777777" w:rsidR="009D6585" w:rsidRPr="003A2A4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14:paraId="22A69B48" w14:textId="77777777" w:rsidR="009D6585" w:rsidRPr="003A2A4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74" w:type="dxa"/>
            <w:tcBorders>
              <w:top w:val="single" w:sz="12" w:space="0" w:color="F0EBE1"/>
              <w:left w:val="nil"/>
              <w:bottom w:val="nil"/>
              <w:right w:val="nil"/>
            </w:tcBorders>
            <w:shd w:val="clear" w:color="auto" w:fill="FFFFFF"/>
            <w:vAlign w:val="center"/>
          </w:tcPr>
          <w:p w14:paraId="6C9FEB20" w14:textId="77777777" w:rsidR="009D6585" w:rsidRPr="003A2A4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hAnsi="Arial" w:cs="Arial"/>
                <w:sz w:val="20"/>
                <w:szCs w:val="20"/>
              </w:rPr>
            </w:pPr>
            <w:r w:rsidRPr="0040036F">
              <w:rPr>
                <w:rFonts w:ascii="Arial" w:eastAsia="Times New Roman" w:hAnsi="Arial" w:cs="Arial"/>
                <w:b/>
                <w:noProof/>
                <w:color w:val="6C6361"/>
              </w:rPr>
              <w:drawing>
                <wp:inline distT="0" distB="0" distL="0" distR="0" wp14:anchorId="7320BAC6" wp14:editId="49AA325E">
                  <wp:extent cx="649605" cy="649605"/>
                  <wp:effectExtent l="0" t="0" r="0" b="0"/>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14:paraId="42302BA5" w14:textId="77777777" w:rsidR="00214BC6" w:rsidRPr="00680C81" w:rsidRDefault="00214BC6" w:rsidP="009D6585">
      <w:pPr>
        <w:rPr>
          <w:sz w:val="2"/>
          <w:szCs w:val="2"/>
        </w:rPr>
      </w:pPr>
    </w:p>
    <w:sectPr w:rsidR="00214BC6" w:rsidRPr="00680C81"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C61425" w14:textId="77777777" w:rsidR="004F4EA8" w:rsidRDefault="004F4EA8" w:rsidP="00546556">
      <w:r>
        <w:separator/>
      </w:r>
    </w:p>
  </w:endnote>
  <w:endnote w:type="continuationSeparator" w:id="0">
    <w:p w14:paraId="05E56BB3" w14:textId="77777777" w:rsidR="004F4EA8" w:rsidRDefault="004F4EA8"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8C777" w14:textId="77777777"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14:paraId="16CBF26C" w14:textId="77777777" w:rsidTr="00A775CE">
      <w:trPr>
        <w:trHeight w:val="1824"/>
        <w:jc w:val="center"/>
      </w:trPr>
      <w:tc>
        <w:tcPr>
          <w:tcW w:w="5954" w:type="dxa"/>
          <w:vAlign w:val="bottom"/>
        </w:tcPr>
        <w:p w14:paraId="0C090457" w14:textId="77777777"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14:anchorId="0DD57008" wp14:editId="5037A6CA">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14:paraId="50F8247E" w14:textId="77777777" w:rsidR="00197F64" w:rsidRPr="00EA2D57" w:rsidRDefault="00197F64" w:rsidP="00197F64">
          <w:pPr>
            <w:ind w:right="33"/>
            <w:jc w:val="center"/>
            <w:rPr>
              <w:rFonts w:ascii="Arial" w:hAnsi="Arial" w:cs="Arial"/>
              <w:color w:val="E4DCCA"/>
              <w:sz w:val="16"/>
              <w:szCs w:val="16"/>
            </w:rPr>
          </w:pPr>
        </w:p>
        <w:p w14:paraId="5A9CDA07" w14:textId="77777777"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14:paraId="4E6519BB" w14:textId="77777777"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14:paraId="1798F6F3" w14:textId="77777777"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14:paraId="62467DD9" w14:textId="77777777"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14:anchorId="020682F5" wp14:editId="4EDA8FE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14:paraId="4556E92A" w14:textId="77777777" w:rsidR="00197F64" w:rsidRPr="00197F64" w:rsidRDefault="00197F64" w:rsidP="00197F64">
          <w:pPr>
            <w:tabs>
              <w:tab w:val="center" w:pos="2835"/>
              <w:tab w:val="center" w:pos="8505"/>
            </w:tabs>
            <w:jc w:val="center"/>
            <w:rPr>
              <w:rFonts w:ascii="Arial" w:hAnsi="Arial" w:cs="Arial"/>
              <w:color w:val="404040"/>
              <w:sz w:val="16"/>
              <w:szCs w:val="16"/>
            </w:rPr>
          </w:pPr>
        </w:p>
        <w:p w14:paraId="323BC959"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14:paraId="3AA8340C"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14:paraId="61E18C98" w14:textId="77777777"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14:paraId="24DB9410"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14:paraId="291FCD16" w14:textId="77777777"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C69FA9" w14:textId="77777777" w:rsidR="004F4EA8" w:rsidRDefault="004F4EA8" w:rsidP="00546556">
      <w:r>
        <w:separator/>
      </w:r>
    </w:p>
  </w:footnote>
  <w:footnote w:type="continuationSeparator" w:id="0">
    <w:p w14:paraId="0CEBD1F3" w14:textId="77777777" w:rsidR="004F4EA8" w:rsidRDefault="004F4EA8" w:rsidP="005465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6403C" w14:textId="77777777" w:rsidR="002C4DC0" w:rsidRDefault="00F0384F">
    <w:pPr>
      <w:pStyle w:val="Header"/>
    </w:pPr>
    <w:r>
      <w:rPr>
        <w:noProof/>
      </w:rPr>
      <w:drawing>
        <wp:anchor distT="0" distB="0" distL="114300" distR="114300" simplePos="0" relativeHeight="251659264" behindDoc="1" locked="0" layoutInCell="1" allowOverlap="1" wp14:anchorId="4E39FC2B" wp14:editId="218BDE22">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gutterAtTop/>
  <w:proofState w:spelling="clean" w:grammar="clean"/>
  <w:documentProtection w:edit="forms" w:enforcement="1" w:cryptProviderType="rsaAES" w:cryptAlgorithmClass="hash" w:cryptAlgorithmType="typeAny" w:cryptAlgorithmSid="14" w:cryptSpinCount="100000" w:hash="H3xsvFVqrzs0JaoNt8fqsLH+3H6uvVjgxtE3h06vxPZgrCmP91vixFDHVCT2d5phHi+dbXywTlZZbGdRd6XTyg==" w:salt="4EW81/MhIMTujkEW1JsOBQ=="/>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3933"/>
    <w:rsid w:val="00054C0E"/>
    <w:rsid w:val="00055708"/>
    <w:rsid w:val="0005657B"/>
    <w:rsid w:val="000568E8"/>
    <w:rsid w:val="00056B7C"/>
    <w:rsid w:val="00061765"/>
    <w:rsid w:val="00062429"/>
    <w:rsid w:val="00062643"/>
    <w:rsid w:val="000630FE"/>
    <w:rsid w:val="00063A10"/>
    <w:rsid w:val="00063FA2"/>
    <w:rsid w:val="00064A4A"/>
    <w:rsid w:val="00065DCB"/>
    <w:rsid w:val="00067279"/>
    <w:rsid w:val="00067ADB"/>
    <w:rsid w:val="00070141"/>
    <w:rsid w:val="000706BB"/>
    <w:rsid w:val="00070E12"/>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2606"/>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3EE6"/>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3C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17A32"/>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630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BE9"/>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3936"/>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62AB"/>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2595"/>
    <w:rsid w:val="002B547D"/>
    <w:rsid w:val="002B7150"/>
    <w:rsid w:val="002B775A"/>
    <w:rsid w:val="002C1664"/>
    <w:rsid w:val="002C3E75"/>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AD7"/>
    <w:rsid w:val="00390E32"/>
    <w:rsid w:val="00392300"/>
    <w:rsid w:val="003937B5"/>
    <w:rsid w:val="00393A06"/>
    <w:rsid w:val="00393AC9"/>
    <w:rsid w:val="003954D3"/>
    <w:rsid w:val="00395639"/>
    <w:rsid w:val="00396176"/>
    <w:rsid w:val="00397012"/>
    <w:rsid w:val="00397301"/>
    <w:rsid w:val="00397D6A"/>
    <w:rsid w:val="003A07F2"/>
    <w:rsid w:val="003A138D"/>
    <w:rsid w:val="003A160E"/>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3FED"/>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04F"/>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2A22"/>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02F7"/>
    <w:rsid w:val="004513EF"/>
    <w:rsid w:val="00452264"/>
    <w:rsid w:val="00452452"/>
    <w:rsid w:val="00452FEA"/>
    <w:rsid w:val="00453433"/>
    <w:rsid w:val="00453DA0"/>
    <w:rsid w:val="004550E4"/>
    <w:rsid w:val="00456482"/>
    <w:rsid w:val="004564B3"/>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630"/>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53A3"/>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A8"/>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5C01"/>
    <w:rsid w:val="005368D4"/>
    <w:rsid w:val="005373EB"/>
    <w:rsid w:val="00540785"/>
    <w:rsid w:val="00540E8E"/>
    <w:rsid w:val="005414F3"/>
    <w:rsid w:val="0054153C"/>
    <w:rsid w:val="005437D3"/>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373"/>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2B"/>
    <w:rsid w:val="005B28A0"/>
    <w:rsid w:val="005B2CF8"/>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26B8"/>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6B43"/>
    <w:rsid w:val="00677748"/>
    <w:rsid w:val="00677C29"/>
    <w:rsid w:val="006807A0"/>
    <w:rsid w:val="00680C81"/>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5396"/>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6DD"/>
    <w:rsid w:val="006F074C"/>
    <w:rsid w:val="006F0813"/>
    <w:rsid w:val="006F222B"/>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5B55"/>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67AA1"/>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6044"/>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AC2"/>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3F5"/>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38B"/>
    <w:rsid w:val="008675F1"/>
    <w:rsid w:val="008700B7"/>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39CE"/>
    <w:rsid w:val="00954866"/>
    <w:rsid w:val="00954CE5"/>
    <w:rsid w:val="00955B86"/>
    <w:rsid w:val="009568C5"/>
    <w:rsid w:val="00956AB2"/>
    <w:rsid w:val="00956B33"/>
    <w:rsid w:val="009576B9"/>
    <w:rsid w:val="00957CBA"/>
    <w:rsid w:val="00962708"/>
    <w:rsid w:val="00962BEF"/>
    <w:rsid w:val="00963273"/>
    <w:rsid w:val="00963640"/>
    <w:rsid w:val="0096489A"/>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3D6A"/>
    <w:rsid w:val="00984A5D"/>
    <w:rsid w:val="009858B8"/>
    <w:rsid w:val="00985A6F"/>
    <w:rsid w:val="00985EB4"/>
    <w:rsid w:val="00986FB8"/>
    <w:rsid w:val="00987055"/>
    <w:rsid w:val="00991338"/>
    <w:rsid w:val="00993216"/>
    <w:rsid w:val="00994BF0"/>
    <w:rsid w:val="00994CDD"/>
    <w:rsid w:val="009956FF"/>
    <w:rsid w:val="00996B08"/>
    <w:rsid w:val="009A00B8"/>
    <w:rsid w:val="009A0118"/>
    <w:rsid w:val="009A03AC"/>
    <w:rsid w:val="009A3216"/>
    <w:rsid w:val="009A423D"/>
    <w:rsid w:val="009A4E6C"/>
    <w:rsid w:val="009A5018"/>
    <w:rsid w:val="009A573B"/>
    <w:rsid w:val="009A590F"/>
    <w:rsid w:val="009A5955"/>
    <w:rsid w:val="009A5EEA"/>
    <w:rsid w:val="009B04F4"/>
    <w:rsid w:val="009B1BA2"/>
    <w:rsid w:val="009B5D85"/>
    <w:rsid w:val="009B7803"/>
    <w:rsid w:val="009C0972"/>
    <w:rsid w:val="009C09F9"/>
    <w:rsid w:val="009C3621"/>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585"/>
    <w:rsid w:val="009D6614"/>
    <w:rsid w:val="009D6739"/>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BFB"/>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BD0"/>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3F4D"/>
    <w:rsid w:val="00A74AD3"/>
    <w:rsid w:val="00A74E7F"/>
    <w:rsid w:val="00A74EEE"/>
    <w:rsid w:val="00A7504D"/>
    <w:rsid w:val="00A75D00"/>
    <w:rsid w:val="00A75FE7"/>
    <w:rsid w:val="00A771AB"/>
    <w:rsid w:val="00A80AA6"/>
    <w:rsid w:val="00A82265"/>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AF6D64"/>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2B8F"/>
    <w:rsid w:val="00B23A63"/>
    <w:rsid w:val="00B23AE3"/>
    <w:rsid w:val="00B242FA"/>
    <w:rsid w:val="00B24C3D"/>
    <w:rsid w:val="00B26A6C"/>
    <w:rsid w:val="00B27364"/>
    <w:rsid w:val="00B27C7E"/>
    <w:rsid w:val="00B300C6"/>
    <w:rsid w:val="00B30963"/>
    <w:rsid w:val="00B32A1C"/>
    <w:rsid w:val="00B32E33"/>
    <w:rsid w:val="00B3469A"/>
    <w:rsid w:val="00B3728C"/>
    <w:rsid w:val="00B4015E"/>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B78"/>
    <w:rsid w:val="00BC4C93"/>
    <w:rsid w:val="00BC5DC1"/>
    <w:rsid w:val="00BC5E11"/>
    <w:rsid w:val="00BC7D8B"/>
    <w:rsid w:val="00BD0D08"/>
    <w:rsid w:val="00BD1D2B"/>
    <w:rsid w:val="00BD27EA"/>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41B"/>
    <w:rsid w:val="00BF468F"/>
    <w:rsid w:val="00BF58C7"/>
    <w:rsid w:val="00BF6E97"/>
    <w:rsid w:val="00BF7B24"/>
    <w:rsid w:val="00C00D6A"/>
    <w:rsid w:val="00C0125D"/>
    <w:rsid w:val="00C031A1"/>
    <w:rsid w:val="00C05E31"/>
    <w:rsid w:val="00C10584"/>
    <w:rsid w:val="00C1114E"/>
    <w:rsid w:val="00C11E42"/>
    <w:rsid w:val="00C12FF8"/>
    <w:rsid w:val="00C139DF"/>
    <w:rsid w:val="00C1448A"/>
    <w:rsid w:val="00C15722"/>
    <w:rsid w:val="00C15DEA"/>
    <w:rsid w:val="00C16694"/>
    <w:rsid w:val="00C16870"/>
    <w:rsid w:val="00C1738A"/>
    <w:rsid w:val="00C21622"/>
    <w:rsid w:val="00C21A85"/>
    <w:rsid w:val="00C21D47"/>
    <w:rsid w:val="00C242C0"/>
    <w:rsid w:val="00C24D2A"/>
    <w:rsid w:val="00C257BE"/>
    <w:rsid w:val="00C26470"/>
    <w:rsid w:val="00C27100"/>
    <w:rsid w:val="00C30F1B"/>
    <w:rsid w:val="00C31354"/>
    <w:rsid w:val="00C3178C"/>
    <w:rsid w:val="00C321F7"/>
    <w:rsid w:val="00C32A81"/>
    <w:rsid w:val="00C33237"/>
    <w:rsid w:val="00C341EC"/>
    <w:rsid w:val="00C3431E"/>
    <w:rsid w:val="00C351FB"/>
    <w:rsid w:val="00C359A6"/>
    <w:rsid w:val="00C37045"/>
    <w:rsid w:val="00C37B5B"/>
    <w:rsid w:val="00C4335D"/>
    <w:rsid w:val="00C467D6"/>
    <w:rsid w:val="00C47C41"/>
    <w:rsid w:val="00C5001B"/>
    <w:rsid w:val="00C503C8"/>
    <w:rsid w:val="00C50448"/>
    <w:rsid w:val="00C527B6"/>
    <w:rsid w:val="00C52BA9"/>
    <w:rsid w:val="00C52E31"/>
    <w:rsid w:val="00C533DD"/>
    <w:rsid w:val="00C53561"/>
    <w:rsid w:val="00C53C08"/>
    <w:rsid w:val="00C55685"/>
    <w:rsid w:val="00C5630C"/>
    <w:rsid w:val="00C57511"/>
    <w:rsid w:val="00C60B8E"/>
    <w:rsid w:val="00C61AD0"/>
    <w:rsid w:val="00C62453"/>
    <w:rsid w:val="00C6304D"/>
    <w:rsid w:val="00C6390A"/>
    <w:rsid w:val="00C64202"/>
    <w:rsid w:val="00C64244"/>
    <w:rsid w:val="00C6569E"/>
    <w:rsid w:val="00C66BB9"/>
    <w:rsid w:val="00C701CD"/>
    <w:rsid w:val="00C705D5"/>
    <w:rsid w:val="00C706B3"/>
    <w:rsid w:val="00C706EE"/>
    <w:rsid w:val="00C70EA9"/>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4D0"/>
    <w:rsid w:val="00C94A56"/>
    <w:rsid w:val="00C958F4"/>
    <w:rsid w:val="00C95F68"/>
    <w:rsid w:val="00C961C2"/>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402"/>
    <w:rsid w:val="00D07BC2"/>
    <w:rsid w:val="00D100FE"/>
    <w:rsid w:val="00D1072B"/>
    <w:rsid w:val="00D116D5"/>
    <w:rsid w:val="00D1180E"/>
    <w:rsid w:val="00D14864"/>
    <w:rsid w:val="00D14879"/>
    <w:rsid w:val="00D164B2"/>
    <w:rsid w:val="00D16874"/>
    <w:rsid w:val="00D16A0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3891"/>
    <w:rsid w:val="00D44B8B"/>
    <w:rsid w:val="00D45B8B"/>
    <w:rsid w:val="00D47172"/>
    <w:rsid w:val="00D50772"/>
    <w:rsid w:val="00D51519"/>
    <w:rsid w:val="00D51ED3"/>
    <w:rsid w:val="00D52273"/>
    <w:rsid w:val="00D534F3"/>
    <w:rsid w:val="00D54538"/>
    <w:rsid w:val="00D54B45"/>
    <w:rsid w:val="00D553BC"/>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B9A"/>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308"/>
    <w:rsid w:val="00DE2AB7"/>
    <w:rsid w:val="00DE3375"/>
    <w:rsid w:val="00DE34B2"/>
    <w:rsid w:val="00DE3944"/>
    <w:rsid w:val="00DE3A70"/>
    <w:rsid w:val="00DE5329"/>
    <w:rsid w:val="00DE5900"/>
    <w:rsid w:val="00DE6646"/>
    <w:rsid w:val="00DF121C"/>
    <w:rsid w:val="00DF2DB3"/>
    <w:rsid w:val="00DF306D"/>
    <w:rsid w:val="00DF3B6A"/>
    <w:rsid w:val="00DF546E"/>
    <w:rsid w:val="00DF546F"/>
    <w:rsid w:val="00DF5830"/>
    <w:rsid w:val="00DF6AC4"/>
    <w:rsid w:val="00DF6BC4"/>
    <w:rsid w:val="00DF6BE9"/>
    <w:rsid w:val="00DF7E92"/>
    <w:rsid w:val="00DF7F7C"/>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031"/>
    <w:rsid w:val="00E277C0"/>
    <w:rsid w:val="00E310DE"/>
    <w:rsid w:val="00E31560"/>
    <w:rsid w:val="00E31A7E"/>
    <w:rsid w:val="00E31BD5"/>
    <w:rsid w:val="00E33A23"/>
    <w:rsid w:val="00E348D9"/>
    <w:rsid w:val="00E36CED"/>
    <w:rsid w:val="00E37A71"/>
    <w:rsid w:val="00E37F8B"/>
    <w:rsid w:val="00E41C6F"/>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A14"/>
    <w:rsid w:val="00EA1D2C"/>
    <w:rsid w:val="00EA2BE7"/>
    <w:rsid w:val="00EA2C89"/>
    <w:rsid w:val="00EA641E"/>
    <w:rsid w:val="00EB02F0"/>
    <w:rsid w:val="00EB055B"/>
    <w:rsid w:val="00EB1D2A"/>
    <w:rsid w:val="00EB2173"/>
    <w:rsid w:val="00EB31FD"/>
    <w:rsid w:val="00EB34FB"/>
    <w:rsid w:val="00EB3594"/>
    <w:rsid w:val="00EB3D97"/>
    <w:rsid w:val="00EB46C3"/>
    <w:rsid w:val="00EB4DE7"/>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17AE"/>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A44"/>
    <w:rsid w:val="00F37E28"/>
    <w:rsid w:val="00F40B43"/>
    <w:rsid w:val="00F41331"/>
    <w:rsid w:val="00F41817"/>
    <w:rsid w:val="00F4210B"/>
    <w:rsid w:val="00F4254B"/>
    <w:rsid w:val="00F45C77"/>
    <w:rsid w:val="00F46169"/>
    <w:rsid w:val="00F46CDF"/>
    <w:rsid w:val="00F46EF7"/>
    <w:rsid w:val="00F476F3"/>
    <w:rsid w:val="00F50A38"/>
    <w:rsid w:val="00F50A9D"/>
    <w:rsid w:val="00F521FA"/>
    <w:rsid w:val="00F52429"/>
    <w:rsid w:val="00F53F22"/>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4DE4"/>
    <w:rsid w:val="00F76D8C"/>
    <w:rsid w:val="00F773C9"/>
    <w:rsid w:val="00F81703"/>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2E73"/>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3FA2"/>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0FD785"/>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512/"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424/"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AEA367-923C-4615-9152-11194EF6A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1</Pages>
  <Words>398</Words>
  <Characters>2273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CPD Course: The Law of Charities in Hong Kong and Possible Reform</vt:lpstr>
    </vt:vector>
  </TitlesOfParts>
  <Manager>Tyrone Tsang</Manager>
  <Company>The Profectional Company Limited</Company>
  <LinksUpToDate>false</LinksUpToDate>
  <CharactersWithSpaces>2666</CharactersWithSpaces>
  <SharedDoc>false</SharedDoc>
  <HyperlinkBase>http://download.profectional.com/events/EVT000000424.docx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The Law of Charities in Hong Kong and Possible Reform</dc:title>
  <dc:subject>CPD Course: The Law of Charities in Hong Kong and Possible Reform</dc:subject>
  <dc:creator>The Profectional Company Limited</dc:creator>
  <cp:keywords>Profectional; Kornerstone; CPD; CPT; CLE; CE; RME; Steven Gallagher; Professor of Practice in Law; Associate Dean (Academic &amp; Student Affairs);The Faculty of Law; The Chinese University of Hong Kong</cp:keywords>
  <dc:description/>
  <cp:lastModifiedBy>Tyrone Tsang</cp:lastModifiedBy>
  <cp:revision>80</cp:revision>
  <cp:lastPrinted>2023-11-01T13:07:00Z</cp:lastPrinted>
  <dcterms:created xsi:type="dcterms:W3CDTF">2017-01-12T02:41:00Z</dcterms:created>
  <dcterms:modified xsi:type="dcterms:W3CDTF">2023-11-01T13:07:00Z</dcterms:modified>
  <cp:category/>
</cp:coreProperties>
</file>