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B09D23" w14:textId="77777777" w:rsidR="00D44BB7" w:rsidRPr="00D44BB7" w:rsidRDefault="00D44BB7" w:rsidP="00D44BB7">
      <w:pPr>
        <w:spacing w:line="276" w:lineRule="auto"/>
        <w:jc w:val="left"/>
        <w:rPr>
          <w:rFonts w:ascii="Arial" w:hAnsi="Arial" w:cs="Arial"/>
          <w:sz w:val="2"/>
          <w:szCs w:val="2"/>
        </w:rPr>
      </w:pPr>
    </w:p>
    <w:tbl>
      <w:tblPr>
        <w:tblW w:w="10773" w:type="dxa"/>
        <w:jc w:val="center"/>
        <w:tblLook w:val="04A0" w:firstRow="1" w:lastRow="0" w:firstColumn="1" w:lastColumn="0" w:noHBand="0" w:noVBand="1"/>
      </w:tblPr>
      <w:tblGrid>
        <w:gridCol w:w="4797"/>
        <w:gridCol w:w="5976"/>
      </w:tblGrid>
      <w:tr w:rsidR="00D44BB7" w:rsidRPr="00523A64" w14:paraId="7A26F5F2" w14:textId="77777777" w:rsidTr="004A160A">
        <w:trPr>
          <w:trHeight w:val="3119"/>
          <w:jc w:val="center"/>
        </w:trPr>
        <w:tc>
          <w:tcPr>
            <w:tcW w:w="4820" w:type="dxa"/>
            <w:shd w:val="clear" w:color="auto" w:fill="FFFFFF"/>
            <w:vAlign w:val="center"/>
          </w:tcPr>
          <w:p w14:paraId="2089235B" w14:textId="77777777" w:rsidR="00D44BB7" w:rsidRPr="001A3018" w:rsidRDefault="00D44BB7" w:rsidP="004A160A">
            <w:pPr>
              <w:jc w:val="center"/>
              <w:rPr>
                <w:rFonts w:ascii="Arial" w:hAnsi="Arial" w:cs="Arial"/>
                <w:b/>
                <w:bCs/>
                <w:color w:val="524B48"/>
                <w:sz w:val="4"/>
                <w:szCs w:val="4"/>
              </w:rPr>
            </w:pPr>
          </w:p>
          <w:p w14:paraId="481E1327" w14:textId="77777777" w:rsidR="00D44BB7" w:rsidRDefault="00D44BB7" w:rsidP="004A160A">
            <w:pPr>
              <w:jc w:val="center"/>
              <w:rPr>
                <w:rStyle w:val="Hyperlink"/>
                <w:rFonts w:ascii="Arial" w:hAnsi="Arial" w:cs="Arial"/>
                <w:b/>
                <w:bCs/>
                <w:color w:val="524B48"/>
                <w:sz w:val="32"/>
                <w:szCs w:val="32"/>
                <w:u w:val="none"/>
              </w:rPr>
            </w:pPr>
            <w:r w:rsidRPr="00CF685C">
              <w:fldChar w:fldCharType="begin"/>
            </w:r>
            <w:r>
              <w:instrText>HYPERLINK "http://cpd.hk/evt000000425/"</w:instrText>
            </w:r>
            <w:r w:rsidRPr="00CF685C">
              <w:fldChar w:fldCharType="separate"/>
            </w:r>
            <w:r w:rsidRPr="00F87AEA">
              <w:rPr>
                <w:rStyle w:val="Hyperlink"/>
                <w:rFonts w:ascii="Arial" w:hAnsi="Arial" w:cs="Arial"/>
                <w:b/>
                <w:bCs/>
                <w:color w:val="524B48"/>
                <w:sz w:val="32"/>
                <w:szCs w:val="32"/>
                <w:u w:val="none"/>
              </w:rPr>
              <w:t>Untangling the Rules</w:t>
            </w:r>
            <w:r>
              <w:rPr>
                <w:rStyle w:val="Hyperlink"/>
                <w:rFonts w:ascii="Arial" w:hAnsi="Arial" w:cs="Arial"/>
                <w:b/>
                <w:bCs/>
                <w:color w:val="524B48"/>
                <w:sz w:val="32"/>
                <w:szCs w:val="32"/>
                <w:u w:val="none"/>
              </w:rPr>
              <w:br/>
            </w:r>
            <w:r w:rsidRPr="00F87AEA">
              <w:rPr>
                <w:rStyle w:val="Hyperlink"/>
                <w:rFonts w:ascii="Arial" w:hAnsi="Arial" w:cs="Arial"/>
                <w:b/>
                <w:bCs/>
                <w:color w:val="524B48"/>
                <w:sz w:val="32"/>
                <w:szCs w:val="32"/>
                <w:u w:val="none"/>
              </w:rPr>
              <w:t>Against Perpetuities</w:t>
            </w:r>
            <w:r>
              <w:rPr>
                <w:rStyle w:val="Hyperlink"/>
                <w:rFonts w:ascii="Arial" w:hAnsi="Arial" w:cs="Arial"/>
                <w:b/>
                <w:bCs/>
                <w:color w:val="524B48"/>
                <w:sz w:val="32"/>
                <w:szCs w:val="32"/>
                <w:u w:val="none"/>
              </w:rPr>
              <w:br/>
            </w:r>
            <w:r w:rsidRPr="00F87AEA">
              <w:rPr>
                <w:rStyle w:val="Hyperlink"/>
                <w:rFonts w:ascii="Arial" w:hAnsi="Arial" w:cs="Arial"/>
                <w:b/>
                <w:bCs/>
                <w:color w:val="524B48"/>
                <w:sz w:val="32"/>
                <w:szCs w:val="32"/>
                <w:u w:val="none"/>
              </w:rPr>
              <w:t>and the Abolition</w:t>
            </w:r>
            <w:r>
              <w:rPr>
                <w:rStyle w:val="Hyperlink"/>
                <w:rFonts w:ascii="Arial" w:hAnsi="Arial" w:cs="Arial"/>
                <w:b/>
                <w:bCs/>
                <w:color w:val="524B48"/>
                <w:sz w:val="32"/>
                <w:szCs w:val="32"/>
                <w:u w:val="none"/>
              </w:rPr>
              <w:br/>
            </w:r>
            <w:r w:rsidRPr="00F87AEA">
              <w:rPr>
                <w:rStyle w:val="Hyperlink"/>
                <w:rFonts w:ascii="Arial" w:hAnsi="Arial" w:cs="Arial"/>
                <w:b/>
                <w:bCs/>
                <w:color w:val="524B48"/>
                <w:sz w:val="32"/>
                <w:szCs w:val="32"/>
                <w:u w:val="none"/>
              </w:rPr>
              <w:t>of the Rules</w:t>
            </w:r>
            <w:r>
              <w:rPr>
                <w:rStyle w:val="Hyperlink"/>
                <w:rFonts w:ascii="Arial" w:hAnsi="Arial" w:cs="Arial"/>
                <w:b/>
                <w:bCs/>
                <w:color w:val="524B48"/>
                <w:sz w:val="32"/>
                <w:szCs w:val="32"/>
                <w:u w:val="none"/>
              </w:rPr>
              <w:br/>
            </w:r>
            <w:r w:rsidRPr="00F87AEA">
              <w:rPr>
                <w:rStyle w:val="Hyperlink"/>
                <w:rFonts w:ascii="Arial" w:hAnsi="Arial" w:cs="Arial"/>
                <w:b/>
                <w:bCs/>
                <w:color w:val="524B48"/>
                <w:sz w:val="32"/>
                <w:szCs w:val="32"/>
                <w:u w:val="none"/>
              </w:rPr>
              <w:t>for Trusts Effected</w:t>
            </w:r>
            <w:r>
              <w:rPr>
                <w:rStyle w:val="Hyperlink"/>
                <w:rFonts w:ascii="Arial" w:hAnsi="Arial" w:cs="Arial"/>
                <w:b/>
                <w:bCs/>
                <w:color w:val="524B48"/>
                <w:sz w:val="32"/>
                <w:szCs w:val="32"/>
                <w:u w:val="none"/>
              </w:rPr>
              <w:br/>
            </w:r>
            <w:r w:rsidRPr="00F87AEA">
              <w:rPr>
                <w:rStyle w:val="Hyperlink"/>
                <w:rFonts w:ascii="Arial" w:hAnsi="Arial" w:cs="Arial"/>
                <w:b/>
                <w:bCs/>
                <w:color w:val="524B48"/>
                <w:sz w:val="32"/>
                <w:szCs w:val="32"/>
                <w:u w:val="none"/>
              </w:rPr>
              <w:t>in Hong Kong After 2013</w:t>
            </w:r>
          </w:p>
          <w:p w14:paraId="44D1A8BE" w14:textId="77777777" w:rsidR="00D44BB7" w:rsidRPr="00C65AFD" w:rsidRDefault="00D44BB7" w:rsidP="004A160A">
            <w:pPr>
              <w:jc w:val="center"/>
              <w:rPr>
                <w:rFonts w:ascii="Arial" w:hAnsi="Arial" w:cs="Arial"/>
                <w:b/>
                <w:bCs/>
                <w:sz w:val="24"/>
                <w:szCs w:val="24"/>
              </w:rPr>
            </w:pPr>
            <w:r>
              <w:rPr>
                <w:rStyle w:val="Hyperlink"/>
                <w:rFonts w:ascii="Arial" w:hAnsi="Arial" w:cs="Arial"/>
                <w:b/>
                <w:bCs/>
                <w:color w:val="524B48"/>
                <w:sz w:val="32"/>
                <w:szCs w:val="32"/>
                <w:u w:val="none"/>
              </w:rPr>
              <w:t xml:space="preserve"> </w:t>
            </w:r>
            <w:r w:rsidRPr="00CF685C">
              <w:rPr>
                <w:rStyle w:val="Hyperlink"/>
                <w:rFonts w:ascii="Arial" w:hAnsi="Arial" w:cs="Arial"/>
                <w:b/>
                <w:bCs/>
                <w:color w:val="524B48"/>
                <w:sz w:val="32"/>
                <w:szCs w:val="32"/>
                <w:u w:val="none"/>
              </w:rPr>
              <w:fldChar w:fldCharType="end"/>
            </w:r>
          </w:p>
          <w:p w14:paraId="3A43583E" w14:textId="77777777" w:rsidR="00D44BB7" w:rsidRPr="00C65AFD" w:rsidRDefault="00D44BB7" w:rsidP="004A160A">
            <w:pPr>
              <w:jc w:val="center"/>
              <w:rPr>
                <w:rFonts w:ascii="Arial" w:hAnsi="Arial" w:cs="Arial"/>
                <w:i/>
                <w:color w:val="6C6361"/>
                <w:sz w:val="24"/>
                <w:szCs w:val="24"/>
              </w:rPr>
            </w:pPr>
            <w:r w:rsidRPr="00C65AFD">
              <w:rPr>
                <w:rFonts w:ascii="Arial" w:hAnsi="Arial" w:cs="Arial"/>
                <w:i/>
                <w:color w:val="6C6361"/>
                <w:sz w:val="24"/>
                <w:szCs w:val="24"/>
              </w:rPr>
              <w:t>by</w:t>
            </w:r>
          </w:p>
          <w:p w14:paraId="449D067C" w14:textId="77777777" w:rsidR="00D44BB7" w:rsidRDefault="00D44BB7" w:rsidP="004A160A">
            <w:pPr>
              <w:jc w:val="center"/>
              <w:rPr>
                <w:rStyle w:val="Hyperlink"/>
                <w:rFonts w:ascii="Arial" w:hAnsi="Arial" w:cs="Arial"/>
                <w:color w:val="6C6361"/>
                <w:sz w:val="24"/>
                <w:szCs w:val="24"/>
                <w:u w:val="none"/>
              </w:rPr>
            </w:pPr>
            <w:hyperlink r:id="rId8" w:history="1">
              <w:r>
                <w:rPr>
                  <w:rStyle w:val="Hyperlink"/>
                  <w:rFonts w:ascii="Arial" w:hAnsi="Arial" w:cs="Arial"/>
                  <w:color w:val="6C6361"/>
                  <w:sz w:val="24"/>
                  <w:szCs w:val="24"/>
                  <w:u w:val="none"/>
                </w:rPr>
                <w:t>Prof. Steven Gallagher</w:t>
              </w:r>
            </w:hyperlink>
            <w:r>
              <w:rPr>
                <w:rStyle w:val="Hyperlink"/>
                <w:rFonts w:ascii="Arial" w:hAnsi="Arial" w:cs="Arial"/>
                <w:color w:val="6C6361"/>
                <w:sz w:val="24"/>
                <w:szCs w:val="24"/>
                <w:u w:val="none"/>
              </w:rPr>
              <w:t>,</w:t>
            </w:r>
          </w:p>
          <w:p w14:paraId="570E9338" w14:textId="77777777" w:rsidR="00D44BB7" w:rsidRDefault="00D44BB7" w:rsidP="004A160A">
            <w:pPr>
              <w:jc w:val="center"/>
              <w:rPr>
                <w:rFonts w:ascii="Arial" w:hAnsi="Arial" w:cs="Arial"/>
                <w:color w:val="6C6361"/>
                <w:sz w:val="24"/>
                <w:szCs w:val="24"/>
              </w:rPr>
            </w:pPr>
            <w:r>
              <w:rPr>
                <w:rFonts w:ascii="Arial" w:hAnsi="Arial" w:cs="Arial"/>
                <w:color w:val="6C6361"/>
                <w:sz w:val="24"/>
                <w:szCs w:val="24"/>
              </w:rPr>
              <w:t>Professor of Practice in Law,</w:t>
            </w:r>
          </w:p>
          <w:p w14:paraId="6532B2D1" w14:textId="77777777" w:rsidR="00D44BB7" w:rsidRDefault="00D44BB7" w:rsidP="004A160A">
            <w:pPr>
              <w:jc w:val="center"/>
              <w:rPr>
                <w:rFonts w:ascii="Arial" w:hAnsi="Arial" w:cs="Arial"/>
                <w:color w:val="6C6361"/>
                <w:sz w:val="24"/>
                <w:szCs w:val="24"/>
              </w:rPr>
            </w:pPr>
            <w:r w:rsidRPr="00BB7007">
              <w:rPr>
                <w:rFonts w:ascii="Arial" w:hAnsi="Arial" w:cs="Arial"/>
                <w:color w:val="6C6361"/>
                <w:sz w:val="24"/>
                <w:szCs w:val="24"/>
              </w:rPr>
              <w:t>Associ</w:t>
            </w:r>
            <w:r>
              <w:rPr>
                <w:rFonts w:ascii="Arial" w:hAnsi="Arial" w:cs="Arial"/>
                <w:color w:val="6C6361"/>
                <w:sz w:val="24"/>
                <w:szCs w:val="24"/>
              </w:rPr>
              <w:t>ate Dean</w:t>
            </w:r>
          </w:p>
          <w:p w14:paraId="6502F635" w14:textId="77777777" w:rsidR="00D44BB7" w:rsidRDefault="00D44BB7" w:rsidP="004A160A">
            <w:pPr>
              <w:jc w:val="center"/>
              <w:rPr>
                <w:rFonts w:ascii="Arial" w:hAnsi="Arial" w:cs="Arial"/>
                <w:color w:val="6C6361"/>
                <w:sz w:val="24"/>
                <w:szCs w:val="24"/>
              </w:rPr>
            </w:pPr>
            <w:r>
              <w:rPr>
                <w:rFonts w:ascii="Arial" w:hAnsi="Arial" w:cs="Arial"/>
                <w:color w:val="6C6361"/>
                <w:sz w:val="24"/>
                <w:szCs w:val="24"/>
              </w:rPr>
              <w:t>(</w:t>
            </w:r>
            <w:r w:rsidRPr="00F87AEA">
              <w:rPr>
                <w:rFonts w:ascii="Arial" w:hAnsi="Arial" w:cs="Arial"/>
                <w:color w:val="6C6361"/>
                <w:sz w:val="24"/>
                <w:szCs w:val="24"/>
              </w:rPr>
              <w:t>Academic &amp; Student Affairs</w:t>
            </w:r>
            <w:r>
              <w:rPr>
                <w:rFonts w:ascii="Arial" w:hAnsi="Arial" w:cs="Arial"/>
                <w:color w:val="6C6361"/>
                <w:sz w:val="24"/>
                <w:szCs w:val="24"/>
              </w:rPr>
              <w:t>),</w:t>
            </w:r>
          </w:p>
          <w:p w14:paraId="3DAC39E1" w14:textId="77777777" w:rsidR="00D44BB7" w:rsidRDefault="00D44BB7" w:rsidP="004A160A">
            <w:pPr>
              <w:jc w:val="center"/>
              <w:rPr>
                <w:rFonts w:ascii="Arial" w:hAnsi="Arial" w:cs="Arial"/>
                <w:color w:val="6C6361"/>
                <w:sz w:val="24"/>
                <w:szCs w:val="24"/>
              </w:rPr>
            </w:pPr>
            <w:r>
              <w:rPr>
                <w:rFonts w:ascii="Arial" w:hAnsi="Arial" w:cs="Arial"/>
                <w:color w:val="6C6361"/>
                <w:sz w:val="24"/>
                <w:szCs w:val="24"/>
              </w:rPr>
              <w:t>The Faculty of Law,</w:t>
            </w:r>
          </w:p>
          <w:p w14:paraId="1335326D" w14:textId="77777777" w:rsidR="00D44BB7" w:rsidRDefault="00D44BB7" w:rsidP="004A160A">
            <w:pPr>
              <w:jc w:val="center"/>
              <w:rPr>
                <w:rFonts w:ascii="Arial" w:hAnsi="Arial" w:cs="Arial"/>
                <w:color w:val="6C6361"/>
                <w:sz w:val="24"/>
                <w:szCs w:val="24"/>
              </w:rPr>
            </w:pPr>
            <w:r w:rsidRPr="00BB7007">
              <w:rPr>
                <w:rFonts w:ascii="Arial" w:hAnsi="Arial" w:cs="Arial"/>
                <w:color w:val="6C6361"/>
                <w:sz w:val="24"/>
                <w:szCs w:val="24"/>
              </w:rPr>
              <w:t>The Chinese University of Hong Kong</w:t>
            </w:r>
          </w:p>
          <w:p w14:paraId="7ADC3039" w14:textId="77777777" w:rsidR="00D44BB7" w:rsidRPr="00D87ECF" w:rsidRDefault="00D44BB7" w:rsidP="004A160A">
            <w:pPr>
              <w:jc w:val="center"/>
              <w:rPr>
                <w:rFonts w:ascii="Arial" w:hAnsi="Arial" w:cs="Arial"/>
                <w:color w:val="6C6361"/>
                <w:sz w:val="8"/>
                <w:szCs w:val="8"/>
              </w:rPr>
            </w:pPr>
          </w:p>
        </w:tc>
        <w:tc>
          <w:tcPr>
            <w:tcW w:w="5954" w:type="dxa"/>
            <w:shd w:val="clear" w:color="auto" w:fill="FFFFFF"/>
            <w:vAlign w:val="center"/>
          </w:tcPr>
          <w:p w14:paraId="6C32F67C" w14:textId="77777777" w:rsidR="00D44BB7" w:rsidRPr="00D50772" w:rsidRDefault="00D44BB7" w:rsidP="004A160A">
            <w:pPr>
              <w:spacing w:line="276" w:lineRule="auto"/>
              <w:jc w:val="center"/>
              <w:rPr>
                <w:rFonts w:ascii="Arial" w:eastAsia="Times New Roman" w:hAnsi="Arial" w:cs="Arial"/>
                <w:noProof/>
                <w:sz w:val="20"/>
                <w:szCs w:val="20"/>
              </w:rPr>
            </w:pPr>
            <w:r w:rsidRPr="0057117F">
              <w:rPr>
                <w:rFonts w:ascii="Arial" w:eastAsia="Times New Roman" w:hAnsi="Arial" w:cs="Arial"/>
                <w:noProof/>
                <w:sz w:val="20"/>
                <w:szCs w:val="20"/>
              </w:rPr>
              <w:drawing>
                <wp:anchor distT="0" distB="0" distL="114300" distR="114300" simplePos="0" relativeHeight="251659264" behindDoc="0" locked="0" layoutInCell="1" allowOverlap="1" wp14:anchorId="4516E381" wp14:editId="1A22A39B">
                  <wp:simplePos x="0" y="0"/>
                  <wp:positionH relativeFrom="column">
                    <wp:posOffset>3190875</wp:posOffset>
                  </wp:positionH>
                  <wp:positionV relativeFrom="paragraph">
                    <wp:posOffset>-511175</wp:posOffset>
                  </wp:positionV>
                  <wp:extent cx="539750" cy="539750"/>
                  <wp:effectExtent l="0" t="0" r="6350" b="6350"/>
                  <wp:wrapNone/>
                  <wp:docPr id="11" name="Picture 1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3975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3DEB3FAF" wp14:editId="04F6F644">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
                            <a:hlinkClick r:id="rId9"/>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14:paraId="43B62B57" w14:textId="77777777" w:rsidR="00D44BB7" w:rsidRPr="00D507B8" w:rsidRDefault="00D44BB7" w:rsidP="00D44BB7">
      <w:pPr>
        <w:spacing w:line="276" w:lineRule="auto"/>
        <w:jc w:val="left"/>
        <w:rPr>
          <w:rFonts w:ascii="Arial" w:hAnsi="Arial" w:cs="Arial"/>
          <w:sz w:val="20"/>
          <w:szCs w:val="18"/>
        </w:rPr>
      </w:pPr>
    </w:p>
    <w:tbl>
      <w:tblPr>
        <w:tblW w:w="10773" w:type="dxa"/>
        <w:jc w:val="center"/>
        <w:tblLook w:val="04A0" w:firstRow="1" w:lastRow="0" w:firstColumn="1" w:lastColumn="0" w:noHBand="0" w:noVBand="1"/>
      </w:tblPr>
      <w:tblGrid>
        <w:gridCol w:w="1985"/>
        <w:gridCol w:w="8788"/>
      </w:tblGrid>
      <w:tr w:rsidR="00D44BB7" w:rsidRPr="000F3FFC" w14:paraId="6E30A953" w14:textId="77777777" w:rsidTr="004A160A">
        <w:trPr>
          <w:trHeight w:val="3116"/>
          <w:jc w:val="center"/>
        </w:trPr>
        <w:tc>
          <w:tcPr>
            <w:tcW w:w="1985" w:type="dxa"/>
            <w:shd w:val="clear" w:color="auto" w:fill="FFFFFF"/>
            <w:vAlign w:val="center"/>
          </w:tcPr>
          <w:p w14:paraId="3EA98E22" w14:textId="77777777" w:rsidR="00D44BB7" w:rsidRPr="000F3FFC" w:rsidRDefault="00D44BB7" w:rsidP="004A160A">
            <w:pPr>
              <w:spacing w:line="276" w:lineRule="auto"/>
              <w:jc w:val="center"/>
              <w:rPr>
                <w:rFonts w:ascii="Arial" w:hAnsi="Arial" w:cs="Arial"/>
                <w:sz w:val="20"/>
                <w:szCs w:val="20"/>
              </w:rPr>
            </w:pPr>
            <w:r w:rsidRPr="000F3FFC">
              <w:rPr>
                <w:rFonts w:ascii="Arial" w:hAnsi="Arial" w:cs="Arial"/>
                <w:noProof/>
                <w:sz w:val="20"/>
                <w:szCs w:val="20"/>
              </w:rPr>
              <w:drawing>
                <wp:inline distT="0" distB="0" distL="0" distR="0" wp14:anchorId="11525271" wp14:editId="1E317452">
                  <wp:extent cx="1080135" cy="1440180"/>
                  <wp:effectExtent l="0" t="0" r="5715" b="7620"/>
                  <wp:docPr id="4"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14:paraId="09BE8CEA" w14:textId="77777777" w:rsidR="00D44BB7" w:rsidRPr="000C143F" w:rsidRDefault="00D44BB7" w:rsidP="00D44BB7">
            <w:pPr>
              <w:pStyle w:val="NormalWeb"/>
              <w:spacing w:line="276" w:lineRule="auto"/>
              <w:jc w:val="both"/>
              <w:rPr>
                <w:rFonts w:ascii="Arial" w:hAnsi="Arial" w:cs="Arial"/>
                <w:color w:val="6C6361"/>
              </w:rPr>
            </w:pPr>
            <w:r w:rsidRPr="000C143F">
              <w:rPr>
                <w:rFonts w:ascii="Arial" w:hAnsi="Arial" w:cs="Arial"/>
                <w:color w:val="6C6361"/>
              </w:rPr>
              <w:t xml:space="preserve">Steven Gallagher was awarded a </w:t>
            </w:r>
            <w:proofErr w:type="gramStart"/>
            <w:r w:rsidRPr="000C143F">
              <w:rPr>
                <w:rFonts w:ascii="Arial" w:hAnsi="Arial" w:cs="Arial"/>
                <w:color w:val="6C6361"/>
              </w:rPr>
              <w:t>first class</w:t>
            </w:r>
            <w:proofErr w:type="gramEnd"/>
            <w:r w:rsidRPr="000C143F">
              <w:rPr>
                <w:rFonts w:ascii="Arial" w:hAnsi="Arial" w:cs="Arial"/>
                <w:color w:val="6C6361"/>
              </w:rPr>
              <w:t xml:space="preserve"> LL.B.  He was called to the Bar of England and Wales in 2006.  Steven teaches equity and trusts, property law, and a course on art, antiquities, cultural heritage and the law.  In September 2023, Steven began teaching a new course on digital technology and law.  Steven has presented over 200 continuing professional development courses for solicitors in Hong Kong on many topics associated with property.  Steven’s research interests include equity and the law of trusts, cultural heritage law, Chinese custom and law, and legal history.  In 2023, Steven published a textbook on Digital Technology and Law.  He is not a technologist.</w:t>
            </w:r>
          </w:p>
        </w:tc>
      </w:tr>
    </w:tbl>
    <w:p w14:paraId="5BDCB775" w14:textId="77777777" w:rsidR="00D44BB7" w:rsidRDefault="00D44BB7" w:rsidP="00D44BB7">
      <w:pPr>
        <w:spacing w:line="276" w:lineRule="auto"/>
        <w:jc w:val="left"/>
        <w:rPr>
          <w:rFonts w:ascii="Arial" w:hAnsi="Arial" w:cs="Arial"/>
          <w:sz w:val="20"/>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10773"/>
      </w:tblGrid>
      <w:tr w:rsidR="00D44BB7" w:rsidRPr="00197806" w14:paraId="05A66EC4" w14:textId="77777777" w:rsidTr="004A160A">
        <w:trPr>
          <w:trHeight w:val="4196"/>
          <w:jc w:val="center"/>
        </w:trPr>
        <w:tc>
          <w:tcPr>
            <w:tcW w:w="10773" w:type="dxa"/>
            <w:tcBorders>
              <w:top w:val="nil"/>
              <w:bottom w:val="nil"/>
            </w:tcBorders>
            <w:shd w:val="clear" w:color="auto" w:fill="FFFFFF" w:themeFill="background1"/>
            <w:vAlign w:val="center"/>
          </w:tcPr>
          <w:p w14:paraId="3D76E955" w14:textId="77777777" w:rsidR="00D44BB7" w:rsidRDefault="00D44BB7" w:rsidP="004A160A">
            <w:pPr>
              <w:spacing w:line="276" w:lineRule="auto"/>
              <w:rPr>
                <w:rFonts w:ascii="Arial" w:hAnsi="Arial" w:cs="Arial"/>
                <w:color w:val="6C6361"/>
                <w:sz w:val="24"/>
                <w:szCs w:val="24"/>
              </w:rPr>
            </w:pPr>
            <w:r w:rsidRPr="00197806">
              <w:rPr>
                <w:rFonts w:ascii="Arial" w:hAnsi="Arial" w:cs="Arial"/>
                <w:color w:val="6C6361"/>
                <w:sz w:val="24"/>
                <w:szCs w:val="24"/>
              </w:rPr>
              <w:t xml:space="preserve">This 3-hour seminar will consider the abolition of the rule against perpetuities for trusts created in Hong Kong after 1 December 2013. </w:t>
            </w:r>
            <w:r>
              <w:rPr>
                <w:rFonts w:ascii="Arial" w:hAnsi="Arial" w:cs="Arial"/>
                <w:color w:val="6C6361"/>
                <w:sz w:val="24"/>
                <w:szCs w:val="24"/>
              </w:rPr>
              <w:t xml:space="preserve"> </w:t>
            </w:r>
            <w:r w:rsidRPr="00197806">
              <w:rPr>
                <w:rFonts w:ascii="Arial" w:hAnsi="Arial" w:cs="Arial"/>
                <w:color w:val="6C6361"/>
                <w:sz w:val="24"/>
                <w:szCs w:val="24"/>
              </w:rPr>
              <w:t>On 1 December 2013 the Trust Law (Amendment) Ordinance 2013 amended the Perpetuities and Accumulations Ordinance (Cap. 257).</w:t>
            </w:r>
            <w:r>
              <w:rPr>
                <w:rFonts w:ascii="Arial" w:hAnsi="Arial" w:cs="Arial"/>
                <w:color w:val="6C6361"/>
                <w:sz w:val="24"/>
                <w:szCs w:val="24"/>
              </w:rPr>
              <w:t xml:space="preserve"> </w:t>
            </w:r>
            <w:r w:rsidRPr="00197806">
              <w:rPr>
                <w:rFonts w:ascii="Arial" w:hAnsi="Arial" w:cs="Arial"/>
                <w:color w:val="6C6361"/>
                <w:sz w:val="24"/>
                <w:szCs w:val="24"/>
              </w:rPr>
              <w:t xml:space="preserve"> The rule against perpetuities and the rule against excessive duration no longer applies to most trusts created in Hong Kong.</w:t>
            </w:r>
            <w:r>
              <w:rPr>
                <w:rFonts w:ascii="Arial" w:hAnsi="Arial" w:cs="Arial"/>
                <w:color w:val="6C6361"/>
                <w:sz w:val="24"/>
                <w:szCs w:val="24"/>
              </w:rPr>
              <w:t xml:space="preserve"> </w:t>
            </w:r>
            <w:r w:rsidRPr="00197806">
              <w:rPr>
                <w:rFonts w:ascii="Arial" w:hAnsi="Arial" w:cs="Arial"/>
                <w:color w:val="6C6361"/>
                <w:sz w:val="24"/>
                <w:szCs w:val="24"/>
              </w:rPr>
              <w:t xml:space="preserve"> The rule against excessive accumulation was also abolished for all trusts created in Hong Kong except charitable trusts will no longer be restricted in their accumulation period.</w:t>
            </w:r>
          </w:p>
          <w:p w14:paraId="15E235F4" w14:textId="77777777" w:rsidR="00D44BB7" w:rsidRDefault="00D44BB7" w:rsidP="004A160A">
            <w:pPr>
              <w:spacing w:line="276" w:lineRule="auto"/>
              <w:rPr>
                <w:rFonts w:ascii="Arial" w:hAnsi="Arial" w:cs="Arial"/>
                <w:color w:val="6C6361"/>
                <w:sz w:val="24"/>
                <w:szCs w:val="24"/>
              </w:rPr>
            </w:pPr>
          </w:p>
          <w:p w14:paraId="223C7D7A" w14:textId="77777777" w:rsidR="00D44BB7" w:rsidRPr="00197806" w:rsidRDefault="00D44BB7" w:rsidP="004A160A">
            <w:pPr>
              <w:spacing w:line="276" w:lineRule="auto"/>
              <w:rPr>
                <w:rFonts w:ascii="Arial" w:hAnsi="Arial" w:cs="Arial"/>
                <w:color w:val="6C6361"/>
                <w:sz w:val="24"/>
                <w:szCs w:val="24"/>
              </w:rPr>
            </w:pPr>
            <w:r w:rsidRPr="00197806">
              <w:rPr>
                <w:rFonts w:ascii="Arial" w:hAnsi="Arial" w:cs="Arial"/>
                <w:color w:val="6C6361"/>
                <w:sz w:val="24"/>
                <w:szCs w:val="24"/>
              </w:rPr>
              <w:t>This seminar will consider the three perpetuities regimes which were such a concern for those involved in trust administration in Hong Kong.</w:t>
            </w:r>
            <w:r>
              <w:rPr>
                <w:rFonts w:ascii="Arial" w:hAnsi="Arial" w:cs="Arial"/>
                <w:color w:val="6C6361"/>
                <w:sz w:val="24"/>
                <w:szCs w:val="24"/>
              </w:rPr>
              <w:t xml:space="preserve"> </w:t>
            </w:r>
            <w:r w:rsidRPr="00197806">
              <w:rPr>
                <w:rFonts w:ascii="Arial" w:hAnsi="Arial" w:cs="Arial"/>
                <w:color w:val="6C6361"/>
                <w:sz w:val="24"/>
                <w:szCs w:val="24"/>
              </w:rPr>
              <w:t xml:space="preserve"> The seminar considers the origins of the rules, their purposes, their effectiveness, and the devastation they wrought in the common law of trusts.</w:t>
            </w:r>
            <w:r>
              <w:rPr>
                <w:rFonts w:ascii="Arial" w:hAnsi="Arial" w:cs="Arial"/>
                <w:color w:val="6C6361"/>
                <w:sz w:val="24"/>
                <w:szCs w:val="24"/>
              </w:rPr>
              <w:t xml:space="preserve"> </w:t>
            </w:r>
            <w:r w:rsidRPr="00197806">
              <w:rPr>
                <w:rFonts w:ascii="Arial" w:hAnsi="Arial" w:cs="Arial"/>
                <w:color w:val="6C6361"/>
                <w:sz w:val="24"/>
                <w:szCs w:val="24"/>
              </w:rPr>
              <w:t xml:space="preserve"> The seminar also considers why Hong Kong has been one of the few traditional English common law jurisdictions to take the courageous step of abolishing the rule(s) against perpetuities.</w:t>
            </w:r>
          </w:p>
        </w:tc>
      </w:tr>
    </w:tbl>
    <w:p w14:paraId="5CF40694" w14:textId="77777777" w:rsidR="00D44BB7" w:rsidRDefault="00D44BB7" w:rsidP="00D44BB7">
      <w:pPr>
        <w:spacing w:line="276" w:lineRule="auto"/>
        <w:jc w:val="left"/>
        <w:rPr>
          <w:sz w:val="20"/>
          <w:szCs w:val="20"/>
        </w:rPr>
      </w:pPr>
    </w:p>
    <w:p w14:paraId="18AD5082" w14:textId="77777777" w:rsidR="00D44BB7" w:rsidRDefault="00D44BB7" w:rsidP="00D44BB7">
      <w:pPr>
        <w:spacing w:line="276" w:lineRule="auto"/>
        <w:jc w:val="left"/>
        <w:rPr>
          <w:sz w:val="20"/>
          <w:szCs w:val="20"/>
        </w:rPr>
      </w:pPr>
    </w:p>
    <w:p w14:paraId="40CA9152" w14:textId="77777777" w:rsidR="00D44BB7" w:rsidRDefault="00D44BB7" w:rsidP="00D44BB7">
      <w:pPr>
        <w:spacing w:line="276" w:lineRule="auto"/>
        <w:jc w:val="left"/>
        <w:rPr>
          <w:sz w:val="20"/>
          <w:szCs w:val="20"/>
        </w:rPr>
      </w:pPr>
    </w:p>
    <w:p w14:paraId="3635D86C" w14:textId="77777777" w:rsidR="00D44BB7" w:rsidRDefault="00D44BB7" w:rsidP="00D44BB7">
      <w:pPr>
        <w:spacing w:line="276" w:lineRule="auto"/>
        <w:jc w:val="left"/>
        <w:rPr>
          <w:sz w:val="20"/>
          <w:szCs w:val="20"/>
        </w:rPr>
      </w:pPr>
    </w:p>
    <w:p w14:paraId="4ABC74B6" w14:textId="77777777" w:rsidR="00D44BB7" w:rsidRDefault="00D44BB7" w:rsidP="00D44BB7">
      <w:pPr>
        <w:spacing w:line="276" w:lineRule="auto"/>
        <w:jc w:val="left"/>
        <w:rPr>
          <w:sz w:val="20"/>
          <w:szCs w:val="20"/>
        </w:rPr>
      </w:pPr>
    </w:p>
    <w:p w14:paraId="3AD63CEA" w14:textId="77777777" w:rsidR="00D44BB7" w:rsidRPr="00D507B8" w:rsidRDefault="00D44BB7" w:rsidP="00D44BB7">
      <w:pPr>
        <w:spacing w:line="276" w:lineRule="auto"/>
        <w:jc w:val="left"/>
        <w:rPr>
          <w:rFonts w:ascii="Arial" w:hAnsi="Arial" w:cs="Arial"/>
          <w:sz w:val="20"/>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9072"/>
        <w:gridCol w:w="1701"/>
      </w:tblGrid>
      <w:tr w:rsidR="00D44BB7" w:rsidRPr="00197806" w14:paraId="372BE784" w14:textId="77777777" w:rsidTr="004A160A">
        <w:trPr>
          <w:trHeight w:val="397"/>
          <w:jc w:val="center"/>
        </w:trPr>
        <w:tc>
          <w:tcPr>
            <w:tcW w:w="10773" w:type="dxa"/>
            <w:gridSpan w:val="2"/>
            <w:tcBorders>
              <w:top w:val="nil"/>
              <w:bottom w:val="nil"/>
              <w:right w:val="nil"/>
            </w:tcBorders>
            <w:shd w:val="clear" w:color="auto" w:fill="F0EBE1"/>
            <w:vAlign w:val="center"/>
          </w:tcPr>
          <w:p w14:paraId="47EBABD5" w14:textId="77777777" w:rsidR="00D44BB7" w:rsidRPr="00197806" w:rsidRDefault="00D44BB7" w:rsidP="004A160A">
            <w:pPr>
              <w:spacing w:line="276" w:lineRule="auto"/>
              <w:rPr>
                <w:rFonts w:ascii="Arial" w:hAnsi="Arial" w:cs="Arial"/>
                <w:b/>
                <w:color w:val="524B48"/>
                <w:sz w:val="24"/>
                <w:szCs w:val="24"/>
              </w:rPr>
            </w:pPr>
            <w:r w:rsidRPr="00197806">
              <w:rPr>
                <w:rFonts w:ascii="Arial" w:hAnsi="Arial" w:cs="Arial"/>
                <w:b/>
                <w:color w:val="524B48"/>
                <w:sz w:val="24"/>
                <w:szCs w:val="24"/>
              </w:rPr>
              <w:lastRenderedPageBreak/>
              <w:t>Some of the topics considered in this seminar will be:</w:t>
            </w:r>
          </w:p>
        </w:tc>
      </w:tr>
      <w:tr w:rsidR="00D44BB7" w:rsidRPr="00197806" w14:paraId="22A23D50" w14:textId="77777777" w:rsidTr="004A160A">
        <w:trPr>
          <w:trHeight w:val="4413"/>
          <w:jc w:val="center"/>
        </w:trPr>
        <w:tc>
          <w:tcPr>
            <w:tcW w:w="9072" w:type="dxa"/>
            <w:tcBorders>
              <w:top w:val="nil"/>
              <w:bottom w:val="nil"/>
            </w:tcBorders>
            <w:shd w:val="clear" w:color="auto" w:fill="FFFFFF" w:themeFill="background1"/>
            <w:vAlign w:val="center"/>
          </w:tcPr>
          <w:p w14:paraId="2A5D8454" w14:textId="77777777" w:rsidR="00D44BB7" w:rsidRPr="00197806" w:rsidRDefault="00D44BB7" w:rsidP="004A160A">
            <w:pPr>
              <w:pStyle w:val="ListParagraph"/>
              <w:numPr>
                <w:ilvl w:val="0"/>
                <w:numId w:val="1"/>
              </w:numPr>
              <w:spacing w:line="276" w:lineRule="auto"/>
              <w:rPr>
                <w:rFonts w:ascii="Arial" w:hAnsi="Arial" w:cs="Arial"/>
                <w:color w:val="6C6361"/>
                <w:sz w:val="24"/>
                <w:szCs w:val="24"/>
              </w:rPr>
            </w:pPr>
            <w:r w:rsidRPr="00197806">
              <w:rPr>
                <w:rFonts w:ascii="Arial" w:hAnsi="Arial" w:cs="Arial"/>
                <w:color w:val="6C6361"/>
                <w:sz w:val="24"/>
                <w:szCs w:val="24"/>
              </w:rPr>
              <w:t>The confusion between the rule against perpetuities, the rule against inalienability and the rule against excessive accumulation;</w:t>
            </w:r>
          </w:p>
          <w:p w14:paraId="60AA4808" w14:textId="77777777" w:rsidR="00D44BB7" w:rsidRPr="00197806" w:rsidRDefault="00D44BB7" w:rsidP="004A160A">
            <w:pPr>
              <w:pStyle w:val="ListParagraph"/>
              <w:numPr>
                <w:ilvl w:val="0"/>
                <w:numId w:val="1"/>
              </w:numPr>
              <w:spacing w:line="276" w:lineRule="auto"/>
              <w:rPr>
                <w:rFonts w:ascii="Arial" w:hAnsi="Arial" w:cs="Arial"/>
                <w:color w:val="6C6361"/>
                <w:sz w:val="24"/>
                <w:szCs w:val="24"/>
              </w:rPr>
            </w:pPr>
            <w:r w:rsidRPr="00197806">
              <w:rPr>
                <w:rFonts w:ascii="Arial" w:hAnsi="Arial" w:cs="Arial"/>
                <w:color w:val="6C6361"/>
                <w:sz w:val="24"/>
                <w:szCs w:val="24"/>
              </w:rPr>
              <w:t>The common law and perpetuities;</w:t>
            </w:r>
          </w:p>
          <w:p w14:paraId="7F9A399D" w14:textId="77777777" w:rsidR="00D44BB7" w:rsidRPr="00197806" w:rsidRDefault="00D44BB7" w:rsidP="004A160A">
            <w:pPr>
              <w:pStyle w:val="ListParagraph"/>
              <w:numPr>
                <w:ilvl w:val="0"/>
                <w:numId w:val="1"/>
              </w:numPr>
              <w:spacing w:line="276" w:lineRule="auto"/>
              <w:rPr>
                <w:rFonts w:ascii="Arial" w:hAnsi="Arial" w:cs="Arial"/>
                <w:color w:val="6C6361"/>
                <w:sz w:val="24"/>
                <w:szCs w:val="24"/>
              </w:rPr>
            </w:pPr>
            <w:r w:rsidRPr="00197806">
              <w:rPr>
                <w:rFonts w:ascii="Arial" w:hAnsi="Arial" w:cs="Arial"/>
                <w:color w:val="6C6361"/>
                <w:sz w:val="24"/>
                <w:szCs w:val="24"/>
              </w:rPr>
              <w:t>The statutory perpetuities regime;</w:t>
            </w:r>
          </w:p>
          <w:p w14:paraId="5AA12CA7" w14:textId="77777777" w:rsidR="00D44BB7" w:rsidRPr="00197806" w:rsidRDefault="00D44BB7" w:rsidP="004A160A">
            <w:pPr>
              <w:pStyle w:val="ListParagraph"/>
              <w:numPr>
                <w:ilvl w:val="0"/>
                <w:numId w:val="1"/>
              </w:numPr>
              <w:spacing w:line="276" w:lineRule="auto"/>
              <w:rPr>
                <w:rFonts w:ascii="Arial" w:hAnsi="Arial" w:cs="Arial"/>
                <w:color w:val="6C6361"/>
                <w:sz w:val="24"/>
                <w:szCs w:val="24"/>
              </w:rPr>
            </w:pPr>
            <w:r w:rsidRPr="00197806">
              <w:rPr>
                <w:rFonts w:ascii="Arial" w:hAnsi="Arial" w:cs="Arial"/>
                <w:color w:val="6C6361"/>
                <w:sz w:val="24"/>
                <w:szCs w:val="24"/>
              </w:rPr>
              <w:t>The statutory exception for non-charitable purpose trusts;</w:t>
            </w:r>
          </w:p>
          <w:p w14:paraId="743ADCCE" w14:textId="77777777" w:rsidR="00D44BB7" w:rsidRPr="00197806" w:rsidRDefault="00D44BB7" w:rsidP="004A160A">
            <w:pPr>
              <w:pStyle w:val="ListParagraph"/>
              <w:numPr>
                <w:ilvl w:val="0"/>
                <w:numId w:val="1"/>
              </w:numPr>
              <w:spacing w:line="276" w:lineRule="auto"/>
              <w:rPr>
                <w:rFonts w:ascii="Arial" w:hAnsi="Arial" w:cs="Arial"/>
                <w:color w:val="6C6361"/>
                <w:sz w:val="24"/>
                <w:szCs w:val="24"/>
              </w:rPr>
            </w:pPr>
            <w:proofErr w:type="spellStart"/>
            <w:r w:rsidRPr="00197806">
              <w:rPr>
                <w:rFonts w:ascii="Arial" w:hAnsi="Arial" w:cs="Arial"/>
                <w:i/>
                <w:iCs/>
                <w:color w:val="6C6361"/>
                <w:sz w:val="24"/>
                <w:szCs w:val="24"/>
              </w:rPr>
              <w:t>Thellusson</w:t>
            </w:r>
            <w:proofErr w:type="spellEnd"/>
            <w:r w:rsidRPr="00197806">
              <w:rPr>
                <w:rFonts w:ascii="Arial" w:hAnsi="Arial" w:cs="Arial"/>
                <w:color w:val="6C6361"/>
                <w:sz w:val="24"/>
                <w:szCs w:val="24"/>
              </w:rPr>
              <w:t xml:space="preserve"> and excessive accumulations;</w:t>
            </w:r>
          </w:p>
          <w:p w14:paraId="1135B862" w14:textId="77777777" w:rsidR="00D44BB7" w:rsidRPr="00197806" w:rsidRDefault="00D44BB7" w:rsidP="004A160A">
            <w:pPr>
              <w:pStyle w:val="ListParagraph"/>
              <w:numPr>
                <w:ilvl w:val="0"/>
                <w:numId w:val="1"/>
              </w:numPr>
              <w:spacing w:line="276" w:lineRule="auto"/>
              <w:rPr>
                <w:rFonts w:ascii="Arial" w:hAnsi="Arial" w:cs="Arial"/>
                <w:color w:val="6C6361"/>
                <w:sz w:val="24"/>
                <w:szCs w:val="24"/>
              </w:rPr>
            </w:pPr>
            <w:r w:rsidRPr="00197806">
              <w:rPr>
                <w:rFonts w:ascii="Arial" w:hAnsi="Arial" w:cs="Arial"/>
                <w:color w:val="6C6361"/>
                <w:sz w:val="24"/>
                <w:szCs w:val="24"/>
              </w:rPr>
              <w:t>Accumulations and the Perpetuities and Accumulations Ordinance</w:t>
            </w:r>
            <w:r>
              <w:rPr>
                <w:rFonts w:ascii="Arial" w:hAnsi="Arial" w:cs="Arial"/>
                <w:color w:val="6C6361"/>
                <w:sz w:val="24"/>
                <w:szCs w:val="24"/>
              </w:rPr>
              <w:t>;</w:t>
            </w:r>
          </w:p>
          <w:p w14:paraId="54EF50A8" w14:textId="77777777" w:rsidR="00D44BB7" w:rsidRPr="00197806" w:rsidRDefault="00D44BB7" w:rsidP="004A160A">
            <w:pPr>
              <w:pStyle w:val="ListParagraph"/>
              <w:numPr>
                <w:ilvl w:val="0"/>
                <w:numId w:val="1"/>
              </w:numPr>
              <w:spacing w:line="276" w:lineRule="auto"/>
              <w:rPr>
                <w:rFonts w:ascii="Arial" w:hAnsi="Arial" w:cs="Arial"/>
                <w:color w:val="6C6361"/>
                <w:sz w:val="24"/>
                <w:szCs w:val="24"/>
              </w:rPr>
            </w:pPr>
            <w:r w:rsidRPr="00197806">
              <w:rPr>
                <w:rFonts w:ascii="Arial" w:hAnsi="Arial" w:cs="Arial"/>
                <w:color w:val="6C6361"/>
                <w:sz w:val="24"/>
                <w:szCs w:val="24"/>
              </w:rPr>
              <w:t>Reform of the rules in other jurisdictions;</w:t>
            </w:r>
          </w:p>
          <w:p w14:paraId="7BF61AB0" w14:textId="77777777" w:rsidR="00D44BB7" w:rsidRPr="00197806" w:rsidRDefault="00D44BB7" w:rsidP="004A160A">
            <w:pPr>
              <w:pStyle w:val="ListParagraph"/>
              <w:numPr>
                <w:ilvl w:val="0"/>
                <w:numId w:val="1"/>
              </w:numPr>
              <w:spacing w:line="276" w:lineRule="auto"/>
              <w:rPr>
                <w:rFonts w:ascii="Arial" w:hAnsi="Arial" w:cs="Arial"/>
                <w:color w:val="6C6361"/>
                <w:sz w:val="24"/>
                <w:szCs w:val="24"/>
              </w:rPr>
            </w:pPr>
            <w:r w:rsidRPr="00197806">
              <w:rPr>
                <w:rFonts w:ascii="Arial" w:hAnsi="Arial" w:cs="Arial"/>
                <w:color w:val="6C6361"/>
                <w:sz w:val="24"/>
                <w:szCs w:val="24"/>
              </w:rPr>
              <w:t>The consultation on reform in Hong Kong;</w:t>
            </w:r>
          </w:p>
          <w:p w14:paraId="2B6AD417" w14:textId="77777777" w:rsidR="00D44BB7" w:rsidRPr="00197806" w:rsidRDefault="00D44BB7" w:rsidP="004A160A">
            <w:pPr>
              <w:pStyle w:val="ListParagraph"/>
              <w:numPr>
                <w:ilvl w:val="0"/>
                <w:numId w:val="1"/>
              </w:numPr>
              <w:spacing w:line="276" w:lineRule="auto"/>
              <w:rPr>
                <w:rFonts w:ascii="Arial" w:hAnsi="Arial" w:cs="Arial"/>
                <w:color w:val="6C6361"/>
                <w:sz w:val="24"/>
                <w:szCs w:val="24"/>
              </w:rPr>
            </w:pPr>
            <w:r w:rsidRPr="00197806">
              <w:rPr>
                <w:rFonts w:ascii="Arial" w:hAnsi="Arial" w:cs="Arial"/>
                <w:color w:val="6C6361"/>
                <w:sz w:val="24"/>
                <w:szCs w:val="24"/>
              </w:rPr>
              <w:t>The effect of abolition for trusts created after 1 December 2013 in Hong Kong;</w:t>
            </w:r>
          </w:p>
          <w:p w14:paraId="3C573D77" w14:textId="77777777" w:rsidR="00D44BB7" w:rsidRPr="00197806" w:rsidRDefault="00D44BB7" w:rsidP="004A160A">
            <w:pPr>
              <w:pStyle w:val="ListParagraph"/>
              <w:numPr>
                <w:ilvl w:val="0"/>
                <w:numId w:val="1"/>
              </w:numPr>
              <w:spacing w:line="276" w:lineRule="auto"/>
              <w:rPr>
                <w:rFonts w:ascii="Arial" w:hAnsi="Arial" w:cs="Arial"/>
                <w:color w:val="6C6361"/>
                <w:sz w:val="24"/>
                <w:szCs w:val="24"/>
              </w:rPr>
            </w:pPr>
            <w:r w:rsidRPr="00197806">
              <w:rPr>
                <w:rFonts w:ascii="Arial" w:hAnsi="Arial" w:cs="Arial"/>
                <w:color w:val="6C6361"/>
                <w:sz w:val="24"/>
                <w:szCs w:val="24"/>
              </w:rPr>
              <w:t>Restrictions on accumulation for charitable trusts after 1 December 2013;</w:t>
            </w:r>
          </w:p>
          <w:p w14:paraId="79DDC02A" w14:textId="77777777" w:rsidR="00D44BB7" w:rsidRPr="00197806" w:rsidRDefault="00D44BB7" w:rsidP="004A160A">
            <w:pPr>
              <w:pStyle w:val="ListParagraph"/>
              <w:numPr>
                <w:ilvl w:val="0"/>
                <w:numId w:val="1"/>
              </w:numPr>
              <w:spacing w:line="276" w:lineRule="auto"/>
              <w:rPr>
                <w:rFonts w:ascii="Arial" w:hAnsi="Arial" w:cs="Arial"/>
                <w:color w:val="6C6361"/>
                <w:sz w:val="24"/>
                <w:szCs w:val="24"/>
              </w:rPr>
            </w:pPr>
            <w:r w:rsidRPr="00197806">
              <w:rPr>
                <w:rFonts w:ascii="Arial" w:hAnsi="Arial" w:cs="Arial"/>
                <w:color w:val="6C6361"/>
                <w:sz w:val="24"/>
                <w:szCs w:val="24"/>
              </w:rPr>
              <w:t>Perpetual trusts created in Hong Kong of real property outside the jurisdiction;</w:t>
            </w:r>
          </w:p>
          <w:p w14:paraId="4B220577" w14:textId="77777777" w:rsidR="00D44BB7" w:rsidRPr="00197806" w:rsidRDefault="00D44BB7" w:rsidP="004A160A">
            <w:pPr>
              <w:pStyle w:val="ListParagraph"/>
              <w:numPr>
                <w:ilvl w:val="0"/>
                <w:numId w:val="1"/>
              </w:numPr>
              <w:spacing w:line="276" w:lineRule="auto"/>
              <w:rPr>
                <w:rFonts w:ascii="Arial" w:hAnsi="Arial" w:cs="Arial"/>
                <w:color w:val="6C6361"/>
                <w:sz w:val="24"/>
                <w:szCs w:val="24"/>
              </w:rPr>
            </w:pPr>
            <w:r w:rsidRPr="00197806">
              <w:rPr>
                <w:rFonts w:ascii="Arial" w:hAnsi="Arial" w:cs="Arial"/>
                <w:color w:val="6C6361"/>
                <w:sz w:val="24"/>
                <w:szCs w:val="24"/>
              </w:rPr>
              <w:t>How to enjoy perpetuities.</w:t>
            </w:r>
          </w:p>
        </w:tc>
        <w:tc>
          <w:tcPr>
            <w:tcW w:w="1701" w:type="dxa"/>
            <w:tcBorders>
              <w:top w:val="nil"/>
              <w:bottom w:val="nil"/>
              <w:right w:val="nil"/>
            </w:tcBorders>
            <w:shd w:val="clear" w:color="auto" w:fill="FFFFFF" w:themeFill="background1"/>
            <w:vAlign w:val="center"/>
          </w:tcPr>
          <w:p w14:paraId="733889F5" w14:textId="77777777" w:rsidR="00D44BB7" w:rsidRPr="00197806" w:rsidRDefault="00D44BB7" w:rsidP="004A160A">
            <w:pPr>
              <w:spacing w:line="276" w:lineRule="auto"/>
              <w:rPr>
                <w:rFonts w:ascii="Arial" w:hAnsi="Arial" w:cs="Arial"/>
                <w:color w:val="6C6361"/>
                <w:sz w:val="23"/>
                <w:szCs w:val="23"/>
              </w:rPr>
            </w:pPr>
          </w:p>
          <w:p w14:paraId="5B117323" w14:textId="77777777" w:rsidR="00D44BB7" w:rsidRPr="00197806" w:rsidRDefault="00D44BB7" w:rsidP="004A160A">
            <w:pPr>
              <w:spacing w:line="276" w:lineRule="auto"/>
              <w:rPr>
                <w:rFonts w:ascii="Arial" w:hAnsi="Arial" w:cs="Arial"/>
                <w:color w:val="6C6361"/>
                <w:sz w:val="23"/>
                <w:szCs w:val="23"/>
              </w:rPr>
            </w:pPr>
          </w:p>
          <w:p w14:paraId="477AFEB9" w14:textId="77777777" w:rsidR="00D44BB7" w:rsidRPr="00197806" w:rsidRDefault="00D44BB7" w:rsidP="004A160A">
            <w:pPr>
              <w:spacing w:line="276" w:lineRule="auto"/>
              <w:rPr>
                <w:rFonts w:ascii="Arial" w:hAnsi="Arial" w:cs="Arial"/>
                <w:color w:val="6C6361"/>
                <w:sz w:val="23"/>
                <w:szCs w:val="23"/>
              </w:rPr>
            </w:pPr>
          </w:p>
          <w:p w14:paraId="548AE675" w14:textId="77777777" w:rsidR="00D44BB7" w:rsidRPr="00197806" w:rsidRDefault="00D44BB7" w:rsidP="004A160A">
            <w:pPr>
              <w:spacing w:line="276" w:lineRule="auto"/>
              <w:rPr>
                <w:rFonts w:ascii="Arial" w:hAnsi="Arial" w:cs="Arial"/>
                <w:color w:val="6C6361"/>
                <w:sz w:val="23"/>
                <w:szCs w:val="23"/>
              </w:rPr>
            </w:pPr>
          </w:p>
          <w:p w14:paraId="6FB7FBE1" w14:textId="77777777" w:rsidR="00D44BB7" w:rsidRPr="00197806" w:rsidRDefault="00D44BB7" w:rsidP="004A160A">
            <w:pPr>
              <w:spacing w:line="276" w:lineRule="auto"/>
              <w:rPr>
                <w:rFonts w:ascii="Arial" w:hAnsi="Arial" w:cs="Arial"/>
                <w:color w:val="6C6361"/>
                <w:sz w:val="23"/>
                <w:szCs w:val="23"/>
              </w:rPr>
            </w:pPr>
          </w:p>
          <w:p w14:paraId="0046DDBB" w14:textId="77777777" w:rsidR="00D44BB7" w:rsidRPr="00197806" w:rsidRDefault="00D44BB7" w:rsidP="004A160A">
            <w:pPr>
              <w:spacing w:line="276" w:lineRule="auto"/>
              <w:rPr>
                <w:rFonts w:ascii="Arial" w:hAnsi="Arial" w:cs="Arial"/>
                <w:color w:val="6C6361"/>
                <w:sz w:val="23"/>
                <w:szCs w:val="23"/>
              </w:rPr>
            </w:pPr>
          </w:p>
          <w:p w14:paraId="39B4ED21" w14:textId="77777777" w:rsidR="00D44BB7" w:rsidRPr="00197806" w:rsidRDefault="00D44BB7" w:rsidP="004A160A">
            <w:pPr>
              <w:spacing w:line="276" w:lineRule="auto"/>
              <w:rPr>
                <w:rFonts w:ascii="Arial" w:hAnsi="Arial" w:cs="Arial"/>
                <w:color w:val="6C6361"/>
                <w:sz w:val="23"/>
                <w:szCs w:val="23"/>
              </w:rPr>
            </w:pPr>
          </w:p>
          <w:p w14:paraId="6CF9EC8B" w14:textId="77777777" w:rsidR="00D44BB7" w:rsidRPr="00197806" w:rsidRDefault="00D44BB7" w:rsidP="004A160A">
            <w:pPr>
              <w:spacing w:line="276" w:lineRule="auto"/>
              <w:rPr>
                <w:rFonts w:ascii="Arial" w:hAnsi="Arial" w:cs="Arial"/>
                <w:color w:val="6C6361"/>
                <w:sz w:val="23"/>
                <w:szCs w:val="23"/>
              </w:rPr>
            </w:pPr>
          </w:p>
          <w:p w14:paraId="4AF48BC1" w14:textId="77777777" w:rsidR="00D44BB7" w:rsidRPr="00197806" w:rsidRDefault="00D44BB7" w:rsidP="004A160A">
            <w:pPr>
              <w:spacing w:line="276" w:lineRule="auto"/>
              <w:rPr>
                <w:rFonts w:ascii="Arial" w:hAnsi="Arial" w:cs="Arial"/>
                <w:color w:val="6C6361"/>
                <w:sz w:val="24"/>
                <w:szCs w:val="24"/>
              </w:rPr>
            </w:pPr>
            <w:r w:rsidRPr="00197806">
              <w:rPr>
                <w:rFonts w:ascii="Arial" w:hAnsi="Arial" w:cs="Arial"/>
                <w:noProof/>
                <w:color w:val="6C6361"/>
                <w:sz w:val="24"/>
                <w:szCs w:val="24"/>
              </w:rPr>
              <w:drawing>
                <wp:inline distT="0" distB="0" distL="0" distR="0" wp14:anchorId="6A483B43" wp14:editId="7016727F">
                  <wp:extent cx="892799" cy="10216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892799" cy="1021690"/>
                          </a:xfrm>
                          <a:prstGeom prst="rect">
                            <a:avLst/>
                          </a:prstGeom>
                          <a:noFill/>
                          <a:ln>
                            <a:noFill/>
                          </a:ln>
                        </pic:spPr>
                      </pic:pic>
                    </a:graphicData>
                  </a:graphic>
                </wp:inline>
              </w:drawing>
            </w:r>
          </w:p>
        </w:tc>
      </w:tr>
    </w:tbl>
    <w:p w14:paraId="572FA7A5" w14:textId="77777777" w:rsidR="00D44BB7" w:rsidRPr="00D44BB7" w:rsidRDefault="00D44BB7" w:rsidP="00F373AA">
      <w:pPr>
        <w:spacing w:line="276" w:lineRule="auto"/>
        <w:rPr>
          <w:rFonts w:ascii="Arial" w:hAnsi="Arial" w:cs="Arial"/>
          <w:sz w:val="20"/>
          <w:szCs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11"/>
        <w:gridCol w:w="1274"/>
      </w:tblGrid>
      <w:tr w:rsidR="00D44BB7" w:rsidRPr="00B90951" w14:paraId="1E7443B0" w14:textId="77777777" w:rsidTr="00D44BB7">
        <w:trPr>
          <w:trHeight w:val="397"/>
          <w:jc w:val="center"/>
        </w:trPr>
        <w:tc>
          <w:tcPr>
            <w:tcW w:w="1701" w:type="dxa"/>
            <w:tcBorders>
              <w:top w:val="nil"/>
              <w:left w:val="nil"/>
              <w:bottom w:val="single" w:sz="12" w:space="0" w:color="FFFFFF"/>
            </w:tcBorders>
            <w:shd w:val="clear" w:color="auto" w:fill="F0EBE1"/>
            <w:vAlign w:val="center"/>
          </w:tcPr>
          <w:p w14:paraId="4B25C1D1" w14:textId="5EA929B9" w:rsidR="00D44BB7" w:rsidRPr="00320F79" w:rsidRDefault="00D44BB7" w:rsidP="00D44B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14:paraId="028944CC" w14:textId="4D4C63AB" w:rsidR="00D44BB7" w:rsidRPr="00320F79" w:rsidRDefault="00D44BB7" w:rsidP="00D44B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EVT000000425</w:t>
            </w:r>
          </w:p>
        </w:tc>
        <w:tc>
          <w:tcPr>
            <w:tcW w:w="1701" w:type="dxa"/>
            <w:tcBorders>
              <w:top w:val="nil"/>
              <w:bottom w:val="single" w:sz="12" w:space="0" w:color="FFFFFF"/>
            </w:tcBorders>
            <w:shd w:val="clear" w:color="auto" w:fill="F0EBE1"/>
            <w:vAlign w:val="center"/>
          </w:tcPr>
          <w:p w14:paraId="6720FFBA" w14:textId="1FAB70A1" w:rsidR="00D44BB7" w:rsidRPr="00320F79" w:rsidRDefault="00D44BB7" w:rsidP="00D44B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14:paraId="77FF768F" w14:textId="719F04D3" w:rsidR="00D44BB7" w:rsidRPr="00320F79" w:rsidRDefault="00D44BB7" w:rsidP="00D44B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D44BB7" w:rsidRPr="00B90951" w14:paraId="0DFFF51F" w14:textId="77777777" w:rsidTr="00D44BB7">
        <w:trPr>
          <w:trHeight w:val="397"/>
          <w:jc w:val="center"/>
        </w:trPr>
        <w:tc>
          <w:tcPr>
            <w:tcW w:w="1701" w:type="dxa"/>
            <w:tcBorders>
              <w:top w:val="single" w:sz="12" w:space="0" w:color="FFFFFF"/>
              <w:left w:val="nil"/>
              <w:bottom w:val="single" w:sz="12" w:space="0" w:color="FFFFFF"/>
            </w:tcBorders>
            <w:shd w:val="clear" w:color="auto" w:fill="F0EBE1"/>
            <w:vAlign w:val="center"/>
          </w:tcPr>
          <w:p w14:paraId="6D55749A" w14:textId="3251A58C" w:rsidR="00D44BB7" w:rsidRPr="00320F79" w:rsidRDefault="00D44BB7" w:rsidP="00D44B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14:paraId="49F39D61" w14:textId="5E42C7CE" w:rsidR="00D44BB7" w:rsidRPr="00682661" w:rsidRDefault="00D44BB7" w:rsidP="00D44B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31 October 2023 (Tuesday)</w:t>
            </w:r>
          </w:p>
        </w:tc>
        <w:tc>
          <w:tcPr>
            <w:tcW w:w="1701" w:type="dxa"/>
            <w:tcBorders>
              <w:top w:val="single" w:sz="12" w:space="0" w:color="FFFFFF"/>
              <w:bottom w:val="single" w:sz="12" w:space="0" w:color="FFFFFF"/>
            </w:tcBorders>
            <w:shd w:val="clear" w:color="auto" w:fill="F0EBE1"/>
            <w:vAlign w:val="center"/>
          </w:tcPr>
          <w:p w14:paraId="21E97AFE" w14:textId="3FDA1F2C" w:rsidR="00D44BB7" w:rsidRPr="00320F79" w:rsidRDefault="00D44BB7" w:rsidP="00D44B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14:paraId="15202A35" w14:textId="21BD2217" w:rsidR="00D44BB7" w:rsidRPr="00320F79" w:rsidRDefault="00D44BB7" w:rsidP="00D44B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D44BB7" w:rsidRPr="00B90951" w14:paraId="28027E09" w14:textId="77777777" w:rsidTr="00F373AA">
        <w:trPr>
          <w:trHeight w:val="284"/>
          <w:jc w:val="center"/>
        </w:trPr>
        <w:tc>
          <w:tcPr>
            <w:tcW w:w="1701" w:type="dxa"/>
            <w:tcBorders>
              <w:top w:val="single" w:sz="12" w:space="0" w:color="FFFFFF"/>
              <w:left w:val="nil"/>
              <w:bottom w:val="single" w:sz="12" w:space="0" w:color="FFFFFF"/>
            </w:tcBorders>
            <w:shd w:val="clear" w:color="auto" w:fill="F0EBE1"/>
            <w:vAlign w:val="center"/>
          </w:tcPr>
          <w:p w14:paraId="2F6B4CC7" w14:textId="57F8C84F" w:rsidR="00D44BB7" w:rsidRPr="00320F79" w:rsidRDefault="00D44BB7" w:rsidP="00D44B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14:paraId="17300A07" w14:textId="77777777" w:rsidR="00D44BB7" w:rsidRPr="00320F79" w:rsidRDefault="00D44BB7" w:rsidP="00D44B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09</w:t>
            </w:r>
            <w:r w:rsidRPr="00320F79">
              <w:rPr>
                <w:rFonts w:ascii="Arial" w:hAnsi="Arial" w:cs="Arial"/>
                <w:b/>
                <w:color w:val="6C6361"/>
                <w:sz w:val="20"/>
                <w:szCs w:val="20"/>
              </w:rPr>
              <w:t xml:space="preserve">:30 - </w:t>
            </w:r>
            <w:r>
              <w:rPr>
                <w:rFonts w:ascii="Arial" w:hAnsi="Arial" w:cs="Arial"/>
                <w:b/>
                <w:color w:val="6C6361"/>
                <w:sz w:val="20"/>
                <w:szCs w:val="20"/>
              </w:rPr>
              <w:t>12</w:t>
            </w:r>
            <w:r w:rsidRPr="00320F79">
              <w:rPr>
                <w:rFonts w:ascii="Arial" w:hAnsi="Arial" w:cs="Arial"/>
                <w:b/>
                <w:color w:val="6C6361"/>
                <w:sz w:val="20"/>
                <w:szCs w:val="20"/>
              </w:rPr>
              <w:t>:45</w:t>
            </w:r>
          </w:p>
          <w:p w14:paraId="71CBFC2E" w14:textId="28FD6086" w:rsidR="00D44BB7" w:rsidRPr="00320F79" w:rsidRDefault="00D44BB7" w:rsidP="00D44B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09</w:t>
            </w:r>
            <w:r w:rsidRPr="00320F79">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14:paraId="39967137" w14:textId="335EEDFD" w:rsidR="00D44BB7" w:rsidRPr="00320F79" w:rsidRDefault="00D44BB7" w:rsidP="00D44B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14:paraId="5B82123C" w14:textId="40308466" w:rsidR="00D44BB7" w:rsidRPr="00682661" w:rsidRDefault="00D44BB7" w:rsidP="00D44B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LSHK 3.0 CPD Points</w:t>
            </w:r>
          </w:p>
        </w:tc>
      </w:tr>
      <w:tr w:rsidR="00F373AA" w:rsidRPr="00B90951" w14:paraId="44834AD8" w14:textId="77777777" w:rsidTr="00F373AA">
        <w:trPr>
          <w:trHeight w:val="284"/>
          <w:jc w:val="center"/>
        </w:trPr>
        <w:tc>
          <w:tcPr>
            <w:tcW w:w="1701" w:type="dxa"/>
            <w:tcBorders>
              <w:top w:val="single" w:sz="12" w:space="0" w:color="FFFFFF"/>
              <w:left w:val="nil"/>
              <w:bottom w:val="nil"/>
            </w:tcBorders>
            <w:shd w:val="clear" w:color="auto" w:fill="F0EBE1"/>
            <w:vAlign w:val="center"/>
          </w:tcPr>
          <w:p w14:paraId="02A9EAE0" w14:textId="77777777" w:rsidR="00F373AA" w:rsidRPr="00B90951"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14:paraId="4BA4516A" w14:textId="77777777" w:rsidR="00F373AA" w:rsidRDefault="00F373AA" w:rsidP="00F373AA">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i/>
                <w:color w:val="6C6361"/>
                <w:sz w:val="20"/>
                <w:szCs w:val="20"/>
              </w:rPr>
            </w:pPr>
            <w:r w:rsidRPr="002D6743">
              <w:rPr>
                <w:rFonts w:ascii="Arial" w:hAnsi="Arial" w:cs="Arial"/>
                <w:i/>
                <w:color w:val="6C6361"/>
                <w:sz w:val="20"/>
                <w:szCs w:val="20"/>
              </w:rPr>
              <w:t>Option of</w:t>
            </w:r>
            <w:r>
              <w:rPr>
                <w:rFonts w:ascii="Arial" w:hAnsi="Arial" w:cs="Arial"/>
                <w:i/>
                <w:color w:val="6C6361"/>
                <w:sz w:val="20"/>
                <w:szCs w:val="20"/>
              </w:rPr>
              <w:t>:</w:t>
            </w:r>
          </w:p>
          <w:p w14:paraId="79D438A2" w14:textId="77777777" w:rsidR="00F373AA" w:rsidRPr="002D6743" w:rsidRDefault="00F373AA" w:rsidP="00F373AA">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i/>
                <w:color w:val="6C6361"/>
                <w:sz w:val="20"/>
                <w:szCs w:val="20"/>
              </w:rPr>
            </w:pPr>
            <w:r w:rsidRPr="002D6743">
              <w:rPr>
                <w:rFonts w:ascii="Arial" w:hAnsi="Arial" w:cs="Arial"/>
                <w:color w:val="6C6361"/>
                <w:sz w:val="20"/>
                <w:szCs w:val="20"/>
              </w:rPr>
              <w:t>(1)</w:t>
            </w:r>
            <w:r>
              <w:rPr>
                <w:rFonts w:ascii="Arial" w:hAnsi="Arial" w:cs="Arial"/>
                <w:b/>
                <w:color w:val="6C6361"/>
                <w:sz w:val="20"/>
                <w:szCs w:val="20"/>
              </w:rPr>
              <w:t xml:space="preserve"> </w:t>
            </w:r>
            <w:r w:rsidRPr="002D6743">
              <w:rPr>
                <w:rFonts w:ascii="Arial" w:hAnsi="Arial" w:cs="Arial"/>
                <w:b/>
                <w:color w:val="6C6361"/>
                <w:sz w:val="20"/>
                <w:szCs w:val="20"/>
              </w:rPr>
              <w:t>Online</w:t>
            </w:r>
            <w:r w:rsidRPr="002D6743">
              <w:rPr>
                <w:rFonts w:ascii="Arial" w:hAnsi="Arial" w:cs="Arial"/>
                <w:color w:val="6C6361"/>
                <w:sz w:val="20"/>
                <w:szCs w:val="20"/>
              </w:rPr>
              <w:t xml:space="preserve"> via Zoom</w:t>
            </w:r>
            <w:r>
              <w:rPr>
                <w:rFonts w:ascii="Arial" w:hAnsi="Arial" w:cs="Arial"/>
                <w:color w:val="6C6361"/>
                <w:sz w:val="20"/>
                <w:szCs w:val="20"/>
              </w:rPr>
              <w:t xml:space="preserve">; </w:t>
            </w:r>
            <w:r w:rsidRPr="002D6743">
              <w:rPr>
                <w:rFonts w:ascii="Arial" w:hAnsi="Arial" w:cs="Arial"/>
                <w:i/>
                <w:color w:val="6C6361"/>
                <w:sz w:val="20"/>
                <w:szCs w:val="20"/>
              </w:rPr>
              <w:t>or</w:t>
            </w:r>
          </w:p>
          <w:p w14:paraId="5D8D899F" w14:textId="77777777" w:rsidR="00F373AA" w:rsidRPr="00B90951" w:rsidRDefault="00F373AA" w:rsidP="00F373AA">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2D6743">
              <w:rPr>
                <w:rFonts w:ascii="Arial" w:hAnsi="Arial" w:cs="Arial"/>
                <w:color w:val="6C6361"/>
                <w:sz w:val="20"/>
                <w:szCs w:val="20"/>
              </w:rPr>
              <w:t xml:space="preserve">(2) </w:t>
            </w:r>
            <w:r w:rsidRPr="00B90951">
              <w:rPr>
                <w:rFonts w:ascii="Arial" w:hAnsi="Arial" w:cs="Arial"/>
                <w:b/>
                <w:color w:val="6C6361"/>
                <w:sz w:val="20"/>
                <w:szCs w:val="20"/>
              </w:rPr>
              <w:fldChar w:fldCharType="begin"/>
            </w:r>
            <w:r w:rsidRPr="00B90951">
              <w:rPr>
                <w:rFonts w:ascii="Arial" w:hAnsi="Arial" w:cs="Arial"/>
                <w:b/>
                <w:color w:val="6C6361"/>
                <w:sz w:val="20"/>
                <w:szCs w:val="20"/>
              </w:rPr>
              <w:instrText xml:space="preserve"> HYPERLINK "http://goo.gl/maps/DKYQ1" </w:instrText>
            </w:r>
            <w:r w:rsidRPr="00B90951">
              <w:rPr>
                <w:rFonts w:ascii="Arial" w:hAnsi="Arial" w:cs="Arial"/>
                <w:b/>
                <w:color w:val="6C6361"/>
                <w:sz w:val="20"/>
                <w:szCs w:val="20"/>
              </w:rPr>
              <w:fldChar w:fldCharType="separate"/>
            </w:r>
            <w:r w:rsidRPr="00B90951">
              <w:rPr>
                <w:rStyle w:val="Hyperlink"/>
                <w:rFonts w:ascii="Arial" w:hAnsi="Arial" w:cs="Arial"/>
                <w:b/>
                <w:color w:val="6C6361"/>
                <w:sz w:val="20"/>
                <w:szCs w:val="20"/>
                <w:u w:val="none"/>
              </w:rPr>
              <w:t>Kornerstone Institute</w:t>
            </w:r>
          </w:p>
          <w:p w14:paraId="19E592D3" w14:textId="77777777" w:rsidR="00F373AA" w:rsidRPr="00B90951"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15/F, Hip Shing Hong Centre</w:t>
            </w:r>
          </w:p>
          <w:p w14:paraId="173E5803" w14:textId="77777777" w:rsidR="00F373AA" w:rsidRPr="00B90951"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55 Des Voeux Road Central</w:t>
            </w:r>
          </w:p>
          <w:p w14:paraId="4DC316C6" w14:textId="77777777" w:rsidR="00F373AA" w:rsidRPr="00B90951"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B90951">
              <w:rPr>
                <w:rStyle w:val="Hyperlink"/>
                <w:rFonts w:ascii="Arial" w:hAnsi="Arial" w:cs="Arial"/>
                <w:color w:val="6C6361"/>
                <w:sz w:val="20"/>
                <w:szCs w:val="20"/>
                <w:u w:val="none"/>
              </w:rPr>
              <w:t>Central, Hong Kong</w:t>
            </w:r>
            <w:r w:rsidRPr="00B90951">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center"/>
          </w:tcPr>
          <w:p w14:paraId="63ACDDA9" w14:textId="77777777" w:rsidR="00F373AA" w:rsidRDefault="00F373AA" w:rsidP="00F373AA">
            <w:pPr>
              <w:jc w:val="left"/>
              <w:rPr>
                <w:rFonts w:ascii="Arial" w:hAnsi="Arial" w:cs="Arial"/>
                <w:b/>
                <w:color w:val="6C6361"/>
                <w:sz w:val="20"/>
                <w:szCs w:val="20"/>
              </w:rPr>
            </w:pPr>
          </w:p>
          <w:p w14:paraId="683125B5" w14:textId="77777777" w:rsidR="00F373AA" w:rsidRDefault="00F373AA" w:rsidP="00F373AA">
            <w:pPr>
              <w:jc w:val="left"/>
              <w:rPr>
                <w:rFonts w:ascii="Arial" w:hAnsi="Arial" w:cs="Arial"/>
                <w:b/>
                <w:color w:val="6C6361"/>
                <w:sz w:val="20"/>
                <w:szCs w:val="20"/>
              </w:rPr>
            </w:pPr>
          </w:p>
          <w:p w14:paraId="1CAAF6AF" w14:textId="77777777" w:rsidR="00F373AA" w:rsidRDefault="00F373AA" w:rsidP="00F373AA">
            <w:pPr>
              <w:jc w:val="left"/>
              <w:rPr>
                <w:rFonts w:ascii="Arial" w:hAnsi="Arial" w:cs="Arial"/>
                <w:b/>
                <w:color w:val="6C6361"/>
                <w:sz w:val="20"/>
                <w:szCs w:val="20"/>
              </w:rPr>
            </w:pPr>
          </w:p>
          <w:p w14:paraId="504D7FCC" w14:textId="40807F93" w:rsidR="00F373AA" w:rsidRPr="00B90951" w:rsidRDefault="00F373AA" w:rsidP="00F373AA">
            <w:pPr>
              <w:jc w:val="left"/>
              <w:rPr>
                <w:rFonts w:ascii="Arial" w:hAnsi="Arial" w:cs="Arial"/>
                <w:b/>
                <w:color w:val="6C6361"/>
                <w:sz w:val="20"/>
                <w:szCs w:val="20"/>
              </w:rPr>
            </w:pPr>
            <w:r w:rsidRPr="00B90951">
              <w:rPr>
                <w:rFonts w:ascii="Arial" w:hAnsi="Arial" w:cs="Arial"/>
                <w:b/>
                <w:noProof/>
                <w:color w:val="6C6361"/>
                <w:sz w:val="20"/>
                <w:szCs w:val="20"/>
              </w:rPr>
              <w:drawing>
                <wp:inline distT="0" distB="0" distL="0" distR="0" wp14:anchorId="20509194" wp14:editId="4DEDA89E">
                  <wp:extent cx="360000" cy="360000"/>
                  <wp:effectExtent l="0" t="0" r="0" b="0"/>
                  <wp:docPr id="9" name="Picture 9">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14:paraId="482C9518" w14:textId="77777777" w:rsidR="00F373AA" w:rsidRPr="00B90951" w:rsidRDefault="00F373AA" w:rsidP="00F373AA">
            <w:pPr>
              <w:jc w:val="lef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14:paraId="71608757" w14:textId="77777777" w:rsidR="00F373AA" w:rsidRPr="003A2A41"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14:paraId="1F351BB4" w14:textId="77777777" w:rsidR="00F373AA" w:rsidRPr="003A2A41"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11" w:type="dxa"/>
            <w:tcBorders>
              <w:top w:val="single" w:sz="12" w:space="0" w:color="F0EBE1"/>
              <w:bottom w:val="nil"/>
              <w:right w:val="nil"/>
            </w:tcBorders>
            <w:shd w:val="clear" w:color="auto" w:fill="FFFFFF"/>
            <w:vAlign w:val="center"/>
          </w:tcPr>
          <w:p w14:paraId="53748F0C" w14:textId="77777777" w:rsidR="00F373AA" w:rsidRPr="003A2A41"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14:paraId="39A0A437" w14:textId="77777777" w:rsidR="00F373AA" w:rsidRPr="003A2A41"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74" w:type="dxa"/>
            <w:tcBorders>
              <w:top w:val="single" w:sz="12" w:space="0" w:color="F0EBE1"/>
              <w:left w:val="nil"/>
              <w:bottom w:val="nil"/>
              <w:right w:val="nil"/>
            </w:tcBorders>
            <w:shd w:val="clear" w:color="auto" w:fill="FFFFFF"/>
            <w:vAlign w:val="center"/>
          </w:tcPr>
          <w:p w14:paraId="62C89830" w14:textId="77777777" w:rsidR="00F373AA" w:rsidRPr="003A2A41"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40036F">
              <w:rPr>
                <w:rFonts w:ascii="Arial" w:eastAsia="Times New Roman" w:hAnsi="Arial" w:cs="Arial"/>
                <w:b/>
                <w:noProof/>
                <w:color w:val="6C6361"/>
              </w:rPr>
              <w:drawing>
                <wp:inline distT="0" distB="0" distL="0" distR="0" wp14:anchorId="316A84AC" wp14:editId="5E709B11">
                  <wp:extent cx="649605" cy="649605"/>
                  <wp:effectExtent l="0" t="0" r="0" b="0"/>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14:paraId="7BDB1F66" w14:textId="77777777" w:rsidR="00F373AA" w:rsidRPr="00680C81" w:rsidRDefault="00F373AA" w:rsidP="00F373AA">
      <w:pPr>
        <w:rPr>
          <w:sz w:val="2"/>
          <w:szCs w:val="2"/>
        </w:rPr>
      </w:pPr>
    </w:p>
    <w:sectPr w:rsidR="00F373AA" w:rsidRPr="00680C81"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65B32A" w14:textId="77777777" w:rsidR="00463224" w:rsidRDefault="00463224" w:rsidP="00546556">
      <w:r>
        <w:separator/>
      </w:r>
    </w:p>
  </w:endnote>
  <w:endnote w:type="continuationSeparator" w:id="0">
    <w:p w14:paraId="1EF6B318" w14:textId="77777777" w:rsidR="00463224" w:rsidRDefault="00463224"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FA4ED" w14:textId="77777777"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14:paraId="4E12162C" w14:textId="77777777" w:rsidTr="00A775CE">
      <w:trPr>
        <w:trHeight w:val="1824"/>
        <w:jc w:val="center"/>
      </w:trPr>
      <w:tc>
        <w:tcPr>
          <w:tcW w:w="5954" w:type="dxa"/>
          <w:vAlign w:val="bottom"/>
        </w:tcPr>
        <w:p w14:paraId="0807244B" w14:textId="77777777"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14:anchorId="01364C79" wp14:editId="1B20620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14:paraId="1507FF08" w14:textId="77777777" w:rsidR="00197F64" w:rsidRPr="00EA2D57" w:rsidRDefault="00197F64" w:rsidP="00197F64">
          <w:pPr>
            <w:ind w:right="33"/>
            <w:jc w:val="center"/>
            <w:rPr>
              <w:rFonts w:ascii="Arial" w:hAnsi="Arial" w:cs="Arial"/>
              <w:color w:val="E4DCCA"/>
              <w:sz w:val="16"/>
              <w:szCs w:val="16"/>
            </w:rPr>
          </w:pPr>
        </w:p>
        <w:p w14:paraId="6ECF88B5" w14:textId="77777777"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14:paraId="2ABC6770" w14:textId="77777777"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14:paraId="18D90BE1" w14:textId="77777777"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14:paraId="59A9888F" w14:textId="77777777"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14:anchorId="445C5BA3" wp14:editId="2634660E">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14:paraId="57E8BD46" w14:textId="77777777" w:rsidR="00197F64" w:rsidRPr="00197F64" w:rsidRDefault="00197F64" w:rsidP="00197F64">
          <w:pPr>
            <w:tabs>
              <w:tab w:val="center" w:pos="2835"/>
              <w:tab w:val="center" w:pos="8505"/>
            </w:tabs>
            <w:jc w:val="center"/>
            <w:rPr>
              <w:rFonts w:ascii="Arial" w:hAnsi="Arial" w:cs="Arial"/>
              <w:color w:val="404040"/>
              <w:sz w:val="16"/>
              <w:szCs w:val="16"/>
            </w:rPr>
          </w:pPr>
        </w:p>
        <w:p w14:paraId="16B212C7"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14:paraId="488728CB"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14:paraId="0434DF0C" w14:textId="77777777"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14:paraId="7B5D8707"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14:paraId="26E96EED" w14:textId="77777777"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EB8193" w14:textId="77777777" w:rsidR="00463224" w:rsidRDefault="00463224" w:rsidP="00546556">
      <w:r>
        <w:separator/>
      </w:r>
    </w:p>
  </w:footnote>
  <w:footnote w:type="continuationSeparator" w:id="0">
    <w:p w14:paraId="7F500210" w14:textId="77777777" w:rsidR="00463224" w:rsidRDefault="00463224" w:rsidP="005465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2C9A5" w14:textId="77777777" w:rsidR="002C4DC0" w:rsidRDefault="00F0384F">
    <w:pPr>
      <w:pStyle w:val="Header"/>
    </w:pPr>
    <w:r>
      <w:rPr>
        <w:noProof/>
      </w:rPr>
      <w:drawing>
        <wp:anchor distT="0" distB="0" distL="114300" distR="114300" simplePos="0" relativeHeight="251659264" behindDoc="1" locked="0" layoutInCell="1" allowOverlap="1" wp14:anchorId="5F6E8049" wp14:editId="2D3C6688">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gutterAtTop/>
  <w:proofState w:spelling="clean" w:grammar="clean"/>
  <w:documentProtection w:edit="forms" w:enforcement="1" w:cryptProviderType="rsaAES" w:cryptAlgorithmClass="hash" w:cryptAlgorithmType="typeAny" w:cryptAlgorithmSid="14" w:cryptSpinCount="100000" w:hash="vk9+uNzy4oyTG158+zd2FkNeoIahv7AbGbsor4qXEtMzGqT5s+P6Mp25Y/98yVDu7T7Zy51NkhtG+IAETYfqcQ==" w:salt="iNMG3NK/TvDrF7QqhfabUw=="/>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58F"/>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3933"/>
    <w:rsid w:val="00054C0E"/>
    <w:rsid w:val="00055708"/>
    <w:rsid w:val="0005657B"/>
    <w:rsid w:val="000568E8"/>
    <w:rsid w:val="00056B7C"/>
    <w:rsid w:val="00061765"/>
    <w:rsid w:val="00062429"/>
    <w:rsid w:val="00062643"/>
    <w:rsid w:val="000630FE"/>
    <w:rsid w:val="00063FA2"/>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2E25"/>
    <w:rsid w:val="00153BCF"/>
    <w:rsid w:val="001543E8"/>
    <w:rsid w:val="001559FE"/>
    <w:rsid w:val="0015630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1B0"/>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BE9"/>
    <w:rsid w:val="001F5DDC"/>
    <w:rsid w:val="001F5EAB"/>
    <w:rsid w:val="001F6E28"/>
    <w:rsid w:val="001F7941"/>
    <w:rsid w:val="001F7DDD"/>
    <w:rsid w:val="0020204B"/>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3936"/>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62AB"/>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2595"/>
    <w:rsid w:val="002B547D"/>
    <w:rsid w:val="002B7150"/>
    <w:rsid w:val="002B775A"/>
    <w:rsid w:val="002C1664"/>
    <w:rsid w:val="002C3E75"/>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AD7"/>
    <w:rsid w:val="00390E32"/>
    <w:rsid w:val="00392300"/>
    <w:rsid w:val="003937B5"/>
    <w:rsid w:val="00393A06"/>
    <w:rsid w:val="00393AC9"/>
    <w:rsid w:val="003954D3"/>
    <w:rsid w:val="00395639"/>
    <w:rsid w:val="00396176"/>
    <w:rsid w:val="00397012"/>
    <w:rsid w:val="00397301"/>
    <w:rsid w:val="00397D6A"/>
    <w:rsid w:val="003A07F2"/>
    <w:rsid w:val="003A138D"/>
    <w:rsid w:val="003A160E"/>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04F"/>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2A22"/>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02F7"/>
    <w:rsid w:val="004513EF"/>
    <w:rsid w:val="00452452"/>
    <w:rsid w:val="00453433"/>
    <w:rsid w:val="00453DA0"/>
    <w:rsid w:val="004550E4"/>
    <w:rsid w:val="00456482"/>
    <w:rsid w:val="00457EFE"/>
    <w:rsid w:val="004602E6"/>
    <w:rsid w:val="0046232A"/>
    <w:rsid w:val="0046296B"/>
    <w:rsid w:val="00462B7C"/>
    <w:rsid w:val="0046302E"/>
    <w:rsid w:val="00463134"/>
    <w:rsid w:val="0046322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53A3"/>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5C01"/>
    <w:rsid w:val="005368D4"/>
    <w:rsid w:val="005373EB"/>
    <w:rsid w:val="00540785"/>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158F"/>
    <w:rsid w:val="00562B69"/>
    <w:rsid w:val="00562BF4"/>
    <w:rsid w:val="005631C3"/>
    <w:rsid w:val="00563DD5"/>
    <w:rsid w:val="00563DDE"/>
    <w:rsid w:val="00564062"/>
    <w:rsid w:val="005646FC"/>
    <w:rsid w:val="00564C12"/>
    <w:rsid w:val="00565373"/>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2B"/>
    <w:rsid w:val="005B28A0"/>
    <w:rsid w:val="005B2CF8"/>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2F9"/>
    <w:rsid w:val="006726A0"/>
    <w:rsid w:val="0067274A"/>
    <w:rsid w:val="0067286F"/>
    <w:rsid w:val="00673511"/>
    <w:rsid w:val="00673A57"/>
    <w:rsid w:val="00673D1A"/>
    <w:rsid w:val="006742FA"/>
    <w:rsid w:val="00674BF1"/>
    <w:rsid w:val="0067507A"/>
    <w:rsid w:val="0067675E"/>
    <w:rsid w:val="00677748"/>
    <w:rsid w:val="00677C29"/>
    <w:rsid w:val="006807A0"/>
    <w:rsid w:val="00680C81"/>
    <w:rsid w:val="0068154E"/>
    <w:rsid w:val="006816F3"/>
    <w:rsid w:val="0068177C"/>
    <w:rsid w:val="00681B20"/>
    <w:rsid w:val="0068219B"/>
    <w:rsid w:val="00682702"/>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5396"/>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6DD"/>
    <w:rsid w:val="006F074C"/>
    <w:rsid w:val="006F0813"/>
    <w:rsid w:val="006F222B"/>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38C"/>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67AA1"/>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AC2"/>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0B7"/>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3E2"/>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22E"/>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489A"/>
    <w:rsid w:val="009653AF"/>
    <w:rsid w:val="0096550C"/>
    <w:rsid w:val="009665BC"/>
    <w:rsid w:val="009677A7"/>
    <w:rsid w:val="00967FB6"/>
    <w:rsid w:val="0097252B"/>
    <w:rsid w:val="009725AA"/>
    <w:rsid w:val="00972B36"/>
    <w:rsid w:val="009749E0"/>
    <w:rsid w:val="00974DFA"/>
    <w:rsid w:val="00976551"/>
    <w:rsid w:val="0098195E"/>
    <w:rsid w:val="00982C1F"/>
    <w:rsid w:val="00982EC2"/>
    <w:rsid w:val="00983C0A"/>
    <w:rsid w:val="00983C2C"/>
    <w:rsid w:val="00984A5D"/>
    <w:rsid w:val="009858B8"/>
    <w:rsid w:val="00985A6F"/>
    <w:rsid w:val="00985EB4"/>
    <w:rsid w:val="00986FB8"/>
    <w:rsid w:val="00987055"/>
    <w:rsid w:val="00991338"/>
    <w:rsid w:val="00993216"/>
    <w:rsid w:val="00994BF0"/>
    <w:rsid w:val="00994CDD"/>
    <w:rsid w:val="009956FF"/>
    <w:rsid w:val="00996B08"/>
    <w:rsid w:val="009A00B8"/>
    <w:rsid w:val="009A0118"/>
    <w:rsid w:val="009A03AC"/>
    <w:rsid w:val="009A3216"/>
    <w:rsid w:val="009A423D"/>
    <w:rsid w:val="009A5018"/>
    <w:rsid w:val="009A573B"/>
    <w:rsid w:val="009A590F"/>
    <w:rsid w:val="009A5955"/>
    <w:rsid w:val="009A5EEA"/>
    <w:rsid w:val="009B04F4"/>
    <w:rsid w:val="009B1BA2"/>
    <w:rsid w:val="009B5D85"/>
    <w:rsid w:val="009B7803"/>
    <w:rsid w:val="009C0972"/>
    <w:rsid w:val="009C09F9"/>
    <w:rsid w:val="009C3621"/>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BFB"/>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3F4D"/>
    <w:rsid w:val="00A74AD3"/>
    <w:rsid w:val="00A74E7F"/>
    <w:rsid w:val="00A74EEE"/>
    <w:rsid w:val="00A7504D"/>
    <w:rsid w:val="00A75D00"/>
    <w:rsid w:val="00A75FE7"/>
    <w:rsid w:val="00A771AB"/>
    <w:rsid w:val="00A80AA6"/>
    <w:rsid w:val="00A82265"/>
    <w:rsid w:val="00A824EF"/>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454"/>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AF6D64"/>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41B"/>
    <w:rsid w:val="00BF468F"/>
    <w:rsid w:val="00BF58C7"/>
    <w:rsid w:val="00BF6E97"/>
    <w:rsid w:val="00BF7B24"/>
    <w:rsid w:val="00C00D6A"/>
    <w:rsid w:val="00C0125D"/>
    <w:rsid w:val="00C031A1"/>
    <w:rsid w:val="00C05E31"/>
    <w:rsid w:val="00C10584"/>
    <w:rsid w:val="00C1114E"/>
    <w:rsid w:val="00C11E42"/>
    <w:rsid w:val="00C12FF8"/>
    <w:rsid w:val="00C139DF"/>
    <w:rsid w:val="00C1448A"/>
    <w:rsid w:val="00C15722"/>
    <w:rsid w:val="00C15DEA"/>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335D"/>
    <w:rsid w:val="00C467D6"/>
    <w:rsid w:val="00C47C41"/>
    <w:rsid w:val="00C5001B"/>
    <w:rsid w:val="00C503C8"/>
    <w:rsid w:val="00C50448"/>
    <w:rsid w:val="00C527B6"/>
    <w:rsid w:val="00C52BA9"/>
    <w:rsid w:val="00C52E31"/>
    <w:rsid w:val="00C533DD"/>
    <w:rsid w:val="00C53561"/>
    <w:rsid w:val="00C53C08"/>
    <w:rsid w:val="00C55685"/>
    <w:rsid w:val="00C5630C"/>
    <w:rsid w:val="00C57511"/>
    <w:rsid w:val="00C60B8E"/>
    <w:rsid w:val="00C61AD0"/>
    <w:rsid w:val="00C62453"/>
    <w:rsid w:val="00C6304D"/>
    <w:rsid w:val="00C6390A"/>
    <w:rsid w:val="00C64202"/>
    <w:rsid w:val="00C64244"/>
    <w:rsid w:val="00C6569E"/>
    <w:rsid w:val="00C66BB9"/>
    <w:rsid w:val="00C701CD"/>
    <w:rsid w:val="00C705D5"/>
    <w:rsid w:val="00C706B3"/>
    <w:rsid w:val="00C706EE"/>
    <w:rsid w:val="00C70EA9"/>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4D0"/>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1A9A"/>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6A0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4BB7"/>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5424"/>
    <w:rsid w:val="00DB0C1E"/>
    <w:rsid w:val="00DB23E0"/>
    <w:rsid w:val="00DB4291"/>
    <w:rsid w:val="00DB51F8"/>
    <w:rsid w:val="00DB535C"/>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308"/>
    <w:rsid w:val="00DE2AB7"/>
    <w:rsid w:val="00DE3375"/>
    <w:rsid w:val="00DE34B2"/>
    <w:rsid w:val="00DE3944"/>
    <w:rsid w:val="00DE3A70"/>
    <w:rsid w:val="00DE5329"/>
    <w:rsid w:val="00DE5900"/>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031"/>
    <w:rsid w:val="00E277C0"/>
    <w:rsid w:val="00E310DE"/>
    <w:rsid w:val="00E31560"/>
    <w:rsid w:val="00E31A7E"/>
    <w:rsid w:val="00E31BD5"/>
    <w:rsid w:val="00E33A23"/>
    <w:rsid w:val="00E348D9"/>
    <w:rsid w:val="00E36CED"/>
    <w:rsid w:val="00E37A71"/>
    <w:rsid w:val="00E37F8B"/>
    <w:rsid w:val="00E41C6F"/>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1FD"/>
    <w:rsid w:val="00EB34FB"/>
    <w:rsid w:val="00EB3594"/>
    <w:rsid w:val="00EB3D97"/>
    <w:rsid w:val="00EB46C3"/>
    <w:rsid w:val="00EB4DE7"/>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17AE"/>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3AA"/>
    <w:rsid w:val="00F37A06"/>
    <w:rsid w:val="00F37A44"/>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3F22"/>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703"/>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2E73"/>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2294"/>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A13375"/>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 w:type="character" w:styleId="FollowedHyperlink">
    <w:name w:val="FollowedHyperlink"/>
    <w:basedOn w:val="DefaultParagraphFont"/>
    <w:uiPriority w:val="99"/>
    <w:semiHidden/>
    <w:unhideWhenUsed/>
    <w:rsid w:val="00F373A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512/"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425/"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40344D-7F8F-4861-AE57-1D4FA39F4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2</Pages>
  <Words>503</Words>
  <Characters>2871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CPD Course: Superheroes and the Law</vt:lpstr>
    </vt:vector>
  </TitlesOfParts>
  <Manager>Tyrone Tsang</Manager>
  <Company>The Profectional Company Limited</Company>
  <LinksUpToDate>false</LinksUpToDate>
  <CharactersWithSpaces>3368</CharactersWithSpaces>
  <SharedDoc>false</SharedDoc>
  <HyperlinkBase>http://download.profectional.com/events/EVT000000425.docx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Untangling the Rules Against Perpetuities and the Abolition of the Rules for Trusts Effected in Hong Kong After 2013</dc:title>
  <dc:subject>CPD Course: Untangling the Rules Against Perpetuities and the Abolition of the Rules for Trusts Effected in Hong Kong After 2013</dc:subject>
  <dc:creator>The Profectional Company Limited</dc:creator>
  <cp:keywords>Profectional; Kornerstone; CPD; CPT; CLE; CE; RME; Steven Gallagher; Professor of Practice in Law; Associate Dean (Academic &amp; Student Affairs);The Faculty of Law; The Chinese University of Hong Kong</cp:keywords>
  <dc:description/>
  <cp:lastModifiedBy>Tyrone Tsang</cp:lastModifiedBy>
  <cp:revision>61</cp:revision>
  <cp:lastPrinted>2023-11-01T13:52:00Z</cp:lastPrinted>
  <dcterms:created xsi:type="dcterms:W3CDTF">2017-01-12T02:41:00Z</dcterms:created>
  <dcterms:modified xsi:type="dcterms:W3CDTF">2023-11-01T13:53:00Z</dcterms:modified>
  <cp:category/>
</cp:coreProperties>
</file>