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0FE" w:rsidRPr="008D70FE" w:rsidRDefault="008D70FE" w:rsidP="008D70F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D70FE" w:rsidRPr="00523A64" w:rsidTr="00E53730">
        <w:trPr>
          <w:trHeight w:val="3119"/>
          <w:jc w:val="center"/>
        </w:trPr>
        <w:tc>
          <w:tcPr>
            <w:tcW w:w="4820" w:type="dxa"/>
            <w:shd w:val="clear" w:color="auto" w:fill="FFFFFF"/>
            <w:vAlign w:val="center"/>
          </w:tcPr>
          <w:p w:rsidR="008D70FE" w:rsidRPr="001A3018" w:rsidRDefault="008D70FE" w:rsidP="00E53730">
            <w:pPr>
              <w:jc w:val="center"/>
              <w:rPr>
                <w:rFonts w:ascii="Arial" w:hAnsi="Arial" w:cs="Arial"/>
                <w:b/>
                <w:bCs/>
                <w:color w:val="524B48"/>
                <w:sz w:val="4"/>
                <w:szCs w:val="4"/>
              </w:rPr>
            </w:pPr>
          </w:p>
          <w:p w:rsidR="008D70FE" w:rsidRPr="000F3FFC" w:rsidRDefault="008D70FE" w:rsidP="00E53730">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"http://cpd.hk/evt000000232/"</w:instrText>
            </w:r>
            <w:r w:rsidRPr="00B8559C">
              <w:rPr>
                <w:rFonts w:ascii="Arial" w:hAnsi="Arial" w:cs="Arial"/>
                <w:b/>
                <w:bCs/>
                <w:color w:val="524B48"/>
                <w:sz w:val="32"/>
                <w:szCs w:val="32"/>
              </w:rPr>
              <w:fldChar w:fldCharType="separate"/>
            </w:r>
            <w:r w:rsidRPr="000F3FFC">
              <w:rPr>
                <w:rStyle w:val="Hyperlink"/>
                <w:rFonts w:ascii="Arial" w:hAnsi="Arial" w:cs="Arial"/>
                <w:b/>
                <w:bCs/>
                <w:color w:val="524B48"/>
                <w:sz w:val="32"/>
                <w:szCs w:val="32"/>
                <w:u w:val="none"/>
              </w:rPr>
              <w:t xml:space="preserve">Legal Issues of </w:t>
            </w:r>
            <w:proofErr w:type="spellStart"/>
            <w:r w:rsidRPr="000F3FFC">
              <w:rPr>
                <w:rStyle w:val="Hyperlink"/>
                <w:rFonts w:ascii="Arial" w:hAnsi="Arial" w:cs="Arial"/>
                <w:b/>
                <w:bCs/>
                <w:color w:val="524B48"/>
                <w:sz w:val="32"/>
                <w:szCs w:val="32"/>
                <w:u w:val="none"/>
              </w:rPr>
              <w:t>Bitcoin</w:t>
            </w:r>
            <w:proofErr w:type="spellEnd"/>
            <w:r w:rsidRPr="000F3FFC">
              <w:rPr>
                <w:rStyle w:val="Hyperlink"/>
                <w:rFonts w:ascii="Arial" w:hAnsi="Arial" w:cs="Arial"/>
                <w:b/>
                <w:bCs/>
                <w:color w:val="524B48"/>
                <w:sz w:val="32"/>
                <w:szCs w:val="32"/>
                <w:u w:val="none"/>
              </w:rPr>
              <w:t>,</w:t>
            </w:r>
          </w:p>
          <w:p w:rsidR="008D70FE" w:rsidRPr="000F3FFC" w:rsidRDefault="008D70FE" w:rsidP="00E53730">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Initial Coin Offerings</w:t>
            </w:r>
          </w:p>
          <w:p w:rsidR="008D70FE" w:rsidRPr="000F3FFC" w:rsidRDefault="008D70FE" w:rsidP="00E53730">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(ICO) and Other</w:t>
            </w:r>
          </w:p>
          <w:p w:rsidR="008D70FE" w:rsidRPr="00B8559C" w:rsidRDefault="008D70FE" w:rsidP="00E53730">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w:t>
            </w:r>
            <w:proofErr w:type="spellStart"/>
            <w:r w:rsidRPr="000F3FFC">
              <w:rPr>
                <w:rStyle w:val="Hyperlink"/>
                <w:rFonts w:ascii="Arial" w:hAnsi="Arial" w:cs="Arial"/>
                <w:b/>
                <w:bCs/>
                <w:color w:val="524B48"/>
                <w:sz w:val="32"/>
                <w:szCs w:val="32"/>
                <w:u w:val="none"/>
              </w:rPr>
              <w:t>Cryptocurrencies</w:t>
            </w:r>
            <w:proofErr w:type="spellEnd"/>
            <w:r w:rsidRPr="000F3FFC">
              <w:rPr>
                <w:rStyle w:val="Hyperlink"/>
                <w:rFonts w:ascii="Arial" w:hAnsi="Arial" w:cs="Arial"/>
                <w:b/>
                <w:bCs/>
                <w:color w:val="524B48"/>
                <w:sz w:val="32"/>
                <w:szCs w:val="32"/>
                <w:u w:val="none"/>
              </w:rPr>
              <w:t>"</w:t>
            </w:r>
          </w:p>
          <w:p w:rsidR="008D70FE" w:rsidRPr="003D25E0" w:rsidRDefault="008D70FE" w:rsidP="00E53730">
            <w:pPr>
              <w:jc w:val="center"/>
              <w:rPr>
                <w:rFonts w:ascii="Arial" w:hAnsi="Arial" w:cs="Arial"/>
                <w:b/>
                <w:bCs/>
                <w:sz w:val="24"/>
                <w:szCs w:val="28"/>
              </w:rPr>
            </w:pPr>
            <w:r w:rsidRPr="00B8559C">
              <w:rPr>
                <w:rFonts w:ascii="Arial" w:hAnsi="Arial" w:cs="Arial"/>
                <w:b/>
                <w:bCs/>
                <w:color w:val="524B48"/>
                <w:sz w:val="32"/>
                <w:szCs w:val="32"/>
              </w:rPr>
              <w:fldChar w:fldCharType="end"/>
            </w:r>
          </w:p>
          <w:p w:rsidR="008D70FE" w:rsidRPr="007E00C3" w:rsidRDefault="008D70FE" w:rsidP="00E53730">
            <w:pPr>
              <w:jc w:val="center"/>
              <w:rPr>
                <w:rFonts w:ascii="Arial" w:hAnsi="Arial" w:cs="Arial"/>
                <w:i/>
                <w:color w:val="6C6361"/>
                <w:sz w:val="23"/>
                <w:szCs w:val="23"/>
              </w:rPr>
            </w:pPr>
            <w:r w:rsidRPr="007E00C3">
              <w:rPr>
                <w:rFonts w:ascii="Arial" w:hAnsi="Arial" w:cs="Arial"/>
                <w:i/>
                <w:color w:val="6C6361"/>
                <w:sz w:val="23"/>
                <w:szCs w:val="23"/>
              </w:rPr>
              <w:t>by</w:t>
            </w:r>
          </w:p>
          <w:p w:rsidR="008D70FE" w:rsidRPr="007E00C3" w:rsidRDefault="008D70FE" w:rsidP="00E53730">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8D70FE" w:rsidRDefault="008D70FE" w:rsidP="00E53730">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8D70FE" w:rsidRDefault="008D70FE" w:rsidP="00E53730">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w:t>
            </w:r>
          </w:p>
          <w:p w:rsidR="008D70FE" w:rsidRDefault="008D70FE" w:rsidP="00E53730">
            <w:pPr>
              <w:jc w:val="center"/>
              <w:rPr>
                <w:rFonts w:ascii="Arial" w:hAnsi="Arial" w:cs="Arial"/>
                <w:color w:val="6C6361"/>
                <w:sz w:val="23"/>
                <w:szCs w:val="23"/>
              </w:rPr>
            </w:pPr>
            <w:r>
              <w:rPr>
                <w:rFonts w:ascii="Arial" w:hAnsi="Arial" w:cs="Arial"/>
                <w:color w:val="6C6361"/>
                <w:sz w:val="23"/>
                <w:szCs w:val="23"/>
              </w:rPr>
              <w:t>Specialist,</w:t>
            </w:r>
          </w:p>
          <w:p w:rsidR="008D70FE" w:rsidRDefault="008D70FE" w:rsidP="00E53730">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8D70FE" w:rsidRDefault="008D70FE" w:rsidP="00E53730">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8D70FE" w:rsidRDefault="008D70FE" w:rsidP="00E53730">
            <w:pPr>
              <w:jc w:val="center"/>
              <w:rPr>
                <w:rFonts w:ascii="Arial" w:hAnsi="Arial" w:cs="Arial"/>
                <w:color w:val="6C6361"/>
                <w:sz w:val="23"/>
                <w:szCs w:val="23"/>
              </w:rPr>
            </w:pPr>
            <w:r>
              <w:rPr>
                <w:rFonts w:ascii="Arial" w:hAnsi="Arial" w:cs="Arial"/>
                <w:color w:val="6C6361"/>
                <w:sz w:val="23"/>
                <w:szCs w:val="23"/>
              </w:rPr>
              <w:t>Mediator,</w:t>
            </w:r>
          </w:p>
          <w:p w:rsidR="008D70FE" w:rsidRDefault="008D70FE" w:rsidP="00E53730">
            <w:pPr>
              <w:jc w:val="center"/>
              <w:rPr>
                <w:rFonts w:ascii="Arial" w:hAnsi="Arial" w:cs="Arial"/>
                <w:color w:val="6C6361"/>
                <w:sz w:val="23"/>
                <w:szCs w:val="23"/>
              </w:rPr>
            </w:pPr>
            <w:r>
              <w:rPr>
                <w:rFonts w:ascii="Arial" w:hAnsi="Arial" w:cs="Arial"/>
                <w:color w:val="6C6361"/>
                <w:sz w:val="23"/>
                <w:szCs w:val="23"/>
              </w:rPr>
              <w:t>Accredited General Mediator,</w:t>
            </w:r>
          </w:p>
          <w:p w:rsidR="008D70FE" w:rsidRDefault="008D70FE" w:rsidP="00E53730">
            <w:pPr>
              <w:jc w:val="center"/>
              <w:rPr>
                <w:rFonts w:ascii="Arial" w:hAnsi="Arial" w:cs="Arial"/>
                <w:color w:val="6C6361"/>
                <w:sz w:val="23"/>
                <w:szCs w:val="23"/>
              </w:rPr>
            </w:pPr>
            <w:r>
              <w:rPr>
                <w:rFonts w:ascii="Arial" w:hAnsi="Arial" w:cs="Arial"/>
                <w:color w:val="6C6361"/>
                <w:sz w:val="23"/>
                <w:szCs w:val="23"/>
              </w:rPr>
              <w:t>Accredited Family Mediator,</w:t>
            </w:r>
          </w:p>
          <w:p w:rsidR="008D70FE" w:rsidRDefault="008D70FE" w:rsidP="00E53730">
            <w:pPr>
              <w:jc w:val="center"/>
              <w:rPr>
                <w:rFonts w:ascii="Arial" w:hAnsi="Arial" w:cs="Arial"/>
                <w:color w:val="6C6361"/>
                <w:sz w:val="23"/>
                <w:szCs w:val="23"/>
              </w:rPr>
            </w:pPr>
            <w:r>
              <w:rPr>
                <w:rFonts w:ascii="Arial" w:hAnsi="Arial" w:cs="Arial"/>
                <w:color w:val="6C6361"/>
                <w:sz w:val="23"/>
                <w:szCs w:val="23"/>
              </w:rPr>
              <w:t>Arbitrator, University Lecturer,</w:t>
            </w:r>
          </w:p>
          <w:p w:rsidR="008D70FE" w:rsidRPr="003D25E0" w:rsidRDefault="008D70FE" w:rsidP="00E53730">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8D70FE" w:rsidRPr="001A3018" w:rsidRDefault="008D70FE" w:rsidP="00E53730">
            <w:pPr>
              <w:jc w:val="center"/>
              <w:rPr>
                <w:rFonts w:ascii="Arial" w:hAnsi="Arial" w:cs="Arial"/>
                <w:color w:val="6C6361"/>
                <w:sz w:val="4"/>
                <w:szCs w:val="4"/>
              </w:rPr>
            </w:pPr>
          </w:p>
        </w:tc>
        <w:tc>
          <w:tcPr>
            <w:tcW w:w="5954" w:type="dxa"/>
            <w:shd w:val="clear" w:color="auto" w:fill="FFFFFF"/>
            <w:vAlign w:val="center"/>
          </w:tcPr>
          <w:p w:rsidR="008D70FE" w:rsidRPr="00D50772" w:rsidRDefault="008D70FE" w:rsidP="00E53730">
            <w:pPr>
              <w:spacing w:line="276" w:lineRule="auto"/>
              <w:jc w:val="center"/>
              <w:rPr>
                <w:rFonts w:ascii="Arial" w:eastAsia="Times New Roman" w:hAnsi="Arial" w:cs="Arial"/>
                <w:noProof/>
                <w:sz w:val="20"/>
                <w:szCs w:val="20"/>
              </w:rPr>
            </w:pPr>
            <w:r w:rsidRPr="00EC4E5F">
              <w:rPr>
                <w:rFonts w:ascii="Arial" w:eastAsia="Times New Roman" w:hAnsi="Arial" w:cs="Arial"/>
                <w:noProof/>
                <w:sz w:val="20"/>
                <w:szCs w:val="20"/>
              </w:rPr>
              <w:drawing>
                <wp:anchor distT="0" distB="0" distL="114300" distR="114300" simplePos="0" relativeHeight="251659264" behindDoc="0" locked="0" layoutInCell="1" allowOverlap="1" wp14:anchorId="06EA5AA0" wp14:editId="67A36C56">
                  <wp:simplePos x="0" y="0"/>
                  <wp:positionH relativeFrom="column">
                    <wp:posOffset>3175635</wp:posOffset>
                  </wp:positionH>
                  <wp:positionV relativeFrom="paragraph">
                    <wp:posOffset>-576580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038012A3" wp14:editId="6357A033">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D70FE" w:rsidRPr="000F3FFC" w:rsidRDefault="008D70FE" w:rsidP="008D70FE">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8D70FE" w:rsidRPr="000F3FFC" w:rsidTr="00E53730">
        <w:trPr>
          <w:trHeight w:val="2495"/>
          <w:jc w:val="center"/>
        </w:trPr>
        <w:tc>
          <w:tcPr>
            <w:tcW w:w="1985" w:type="dxa"/>
            <w:shd w:val="clear" w:color="auto" w:fill="FFFFFF"/>
            <w:vAlign w:val="center"/>
          </w:tcPr>
          <w:p w:rsidR="008D70FE" w:rsidRPr="000F3FFC" w:rsidRDefault="008D70FE" w:rsidP="00E53730">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3A9AC14" wp14:editId="0F3B5628">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D70FE" w:rsidRPr="000F3FFC" w:rsidRDefault="008D70FE" w:rsidP="008D70FE">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8D70FE" w:rsidRPr="000F3FFC" w:rsidRDefault="008D70FE" w:rsidP="008D70FE">
            <w:pPr>
              <w:pStyle w:val="NormalWeb"/>
              <w:spacing w:before="0" w:beforeAutospacing="0" w:after="0" w:afterAutospacing="0"/>
              <w:jc w:val="both"/>
              <w:rPr>
                <w:rFonts w:ascii="Arial" w:hAnsi="Arial" w:cs="Arial"/>
                <w:color w:val="6C6361"/>
                <w:sz w:val="10"/>
                <w:szCs w:val="10"/>
              </w:rPr>
            </w:pPr>
          </w:p>
          <w:p w:rsidR="008D70FE" w:rsidRPr="000F3FFC" w:rsidRDefault="008D70FE" w:rsidP="008D70FE">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8D70FE" w:rsidRPr="000F3FFC" w:rsidRDefault="008D70FE" w:rsidP="008D70FE">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8D70FE" w:rsidRPr="001D532F" w:rsidTr="00E53730">
        <w:trPr>
          <w:trHeight w:val="2737"/>
          <w:jc w:val="center"/>
        </w:trPr>
        <w:tc>
          <w:tcPr>
            <w:tcW w:w="10773" w:type="dxa"/>
            <w:gridSpan w:val="2"/>
            <w:tcBorders>
              <w:top w:val="nil"/>
              <w:bottom w:val="nil"/>
            </w:tcBorders>
            <w:shd w:val="clear" w:color="auto" w:fill="FFFFFF" w:themeFill="background1"/>
            <w:vAlign w:val="center"/>
          </w:tcPr>
          <w:p w:rsidR="008D70FE" w:rsidRPr="001D532F" w:rsidRDefault="008D70FE" w:rsidP="00E53730">
            <w:pPr>
              <w:spacing w:line="276" w:lineRule="auto"/>
              <w:rPr>
                <w:rFonts w:ascii="Arial" w:hAnsi="Arial" w:cs="Arial"/>
                <w:color w:val="6C6361"/>
                <w:sz w:val="23"/>
                <w:szCs w:val="23"/>
              </w:rPr>
            </w:pPr>
            <w:r w:rsidRPr="001D532F">
              <w:rPr>
                <w:rFonts w:ascii="Arial" w:hAnsi="Arial" w:cs="Arial"/>
                <w:color w:val="6C6361"/>
                <w:sz w:val="23"/>
                <w:szCs w:val="23"/>
              </w:rPr>
              <w:t xml:space="preserve">The popularity of </w:t>
            </w:r>
            <w:proofErr w:type="spellStart"/>
            <w:r w:rsidRPr="001D532F">
              <w:rPr>
                <w:rFonts w:ascii="Arial" w:hAnsi="Arial" w:cs="Arial"/>
                <w:color w:val="6C6361"/>
                <w:sz w:val="23"/>
                <w:szCs w:val="23"/>
              </w:rPr>
              <w:t>Bitcoin</w:t>
            </w:r>
            <w:proofErr w:type="spellEnd"/>
            <w:r w:rsidRPr="001D532F">
              <w:rPr>
                <w:rFonts w:ascii="Arial" w:hAnsi="Arial" w:cs="Arial"/>
                <w:color w:val="6C6361"/>
                <w:sz w:val="23"/>
                <w:szCs w:val="23"/>
              </w:rPr>
              <w:t xml:space="preserve"> has inspired the introduction of other </w:t>
            </w:r>
            <w:proofErr w:type="spellStart"/>
            <w:r w:rsidRPr="001D532F">
              <w:rPr>
                <w:rFonts w:ascii="Arial" w:hAnsi="Arial" w:cs="Arial"/>
                <w:color w:val="6C6361"/>
                <w:sz w:val="23"/>
                <w:szCs w:val="23"/>
              </w:rPr>
              <w:t>cryptocurrencies</w:t>
            </w:r>
            <w:proofErr w:type="spellEnd"/>
            <w:r w:rsidRPr="001D532F">
              <w:rPr>
                <w:rFonts w:ascii="Arial" w:hAnsi="Arial" w:cs="Arial"/>
                <w:color w:val="6C6361"/>
                <w:sz w:val="23"/>
                <w:szCs w:val="23"/>
              </w:rPr>
              <w:t xml:space="preserve"> and given rise to initial coin (or token) offerings (ICO), which are typically online fundraising activities for </w:t>
            </w:r>
            <w:proofErr w:type="spellStart"/>
            <w:r w:rsidRPr="001D532F">
              <w:rPr>
                <w:rFonts w:ascii="Arial" w:hAnsi="Arial" w:cs="Arial"/>
                <w:color w:val="6C6361"/>
                <w:sz w:val="23"/>
                <w:szCs w:val="23"/>
              </w:rPr>
              <w:t>blockchain</w:t>
            </w:r>
            <w:proofErr w:type="spellEnd"/>
            <w:r w:rsidRPr="001D532F">
              <w:rPr>
                <w:rFonts w:ascii="Arial" w:hAnsi="Arial" w:cs="Arial"/>
                <w:color w:val="6C6361"/>
                <w:sz w:val="23"/>
                <w:szCs w:val="23"/>
              </w:rPr>
              <w:t xml:space="preserve"> technology-related projects.  Although certain ICOs have made the headlines by raising millions of dollars within minutes or hours, from an investor's perspective, participating in an ICO may pose significant legal risks.</w:t>
            </w:r>
          </w:p>
          <w:p w:rsidR="008D70FE" w:rsidRPr="001D532F" w:rsidRDefault="008D70FE" w:rsidP="00E53730">
            <w:pPr>
              <w:spacing w:line="276" w:lineRule="auto"/>
              <w:rPr>
                <w:rFonts w:ascii="Arial" w:hAnsi="Arial" w:cs="Arial"/>
                <w:color w:val="6C6361"/>
                <w:sz w:val="10"/>
                <w:szCs w:val="10"/>
              </w:rPr>
            </w:pPr>
          </w:p>
          <w:p w:rsidR="008D70FE" w:rsidRPr="001D532F" w:rsidRDefault="008D70FE" w:rsidP="00E53730">
            <w:pPr>
              <w:spacing w:line="276" w:lineRule="auto"/>
              <w:rPr>
                <w:rFonts w:ascii="Arial" w:hAnsi="Arial" w:cs="Arial"/>
                <w:color w:val="6C6361"/>
                <w:sz w:val="23"/>
                <w:szCs w:val="23"/>
              </w:rPr>
            </w:pPr>
            <w:r w:rsidRPr="001D532F">
              <w:rPr>
                <w:rFonts w:ascii="Arial" w:hAnsi="Arial" w:cs="Arial"/>
                <w:color w:val="6C6361"/>
                <w:sz w:val="23"/>
                <w:szCs w:val="23"/>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1D532F">
              <w:rPr>
                <w:rFonts w:ascii="Arial" w:hAnsi="Arial" w:cs="Arial"/>
                <w:color w:val="6C6361"/>
                <w:sz w:val="23"/>
                <w:szCs w:val="23"/>
              </w:rPr>
              <w:t>Fintech</w:t>
            </w:r>
            <w:proofErr w:type="spellEnd"/>
            <w:r w:rsidRPr="001D532F">
              <w:rPr>
                <w:rFonts w:ascii="Arial" w:hAnsi="Arial" w:cs="Arial"/>
                <w:color w:val="6C6361"/>
                <w:sz w:val="23"/>
                <w:szCs w:val="23"/>
              </w:rPr>
              <w:t>, corporate finance, legal, compliance and regulatory professional knowledge and identify the common issues to perform their daily duties effectively.</w:t>
            </w:r>
          </w:p>
        </w:tc>
      </w:tr>
      <w:tr w:rsidR="008D70FE" w:rsidRPr="001D532F" w:rsidTr="00E53730">
        <w:trPr>
          <w:trHeight w:val="397"/>
          <w:jc w:val="center"/>
        </w:trPr>
        <w:tc>
          <w:tcPr>
            <w:tcW w:w="10773" w:type="dxa"/>
            <w:gridSpan w:val="2"/>
            <w:tcBorders>
              <w:top w:val="nil"/>
              <w:bottom w:val="nil"/>
            </w:tcBorders>
            <w:shd w:val="clear" w:color="auto" w:fill="F0EBE1"/>
            <w:vAlign w:val="center"/>
          </w:tcPr>
          <w:p w:rsidR="008D70FE" w:rsidRPr="001D532F" w:rsidRDefault="008D70FE" w:rsidP="00E53730">
            <w:pPr>
              <w:spacing w:line="276" w:lineRule="auto"/>
              <w:jc w:val="left"/>
              <w:rPr>
                <w:rFonts w:ascii="Arial" w:hAnsi="Arial" w:cs="Arial"/>
                <w:b/>
                <w:color w:val="524B48"/>
                <w:sz w:val="23"/>
                <w:szCs w:val="23"/>
              </w:rPr>
            </w:pPr>
            <w:r w:rsidRPr="001D532F">
              <w:rPr>
                <w:rFonts w:ascii="Arial" w:hAnsi="Arial" w:cs="Arial"/>
                <w:b/>
                <w:color w:val="524B48"/>
                <w:sz w:val="23"/>
                <w:szCs w:val="23"/>
              </w:rPr>
              <w:t>Topics to be covered include:</w:t>
            </w:r>
          </w:p>
        </w:tc>
      </w:tr>
      <w:tr w:rsidR="008D70FE" w:rsidRPr="001D532F" w:rsidTr="00E53730">
        <w:trPr>
          <w:trHeight w:val="2711"/>
          <w:jc w:val="center"/>
        </w:trPr>
        <w:tc>
          <w:tcPr>
            <w:tcW w:w="5387" w:type="dxa"/>
            <w:tcBorders>
              <w:top w:val="nil"/>
              <w:bottom w:val="nil"/>
              <w:right w:val="nil"/>
            </w:tcBorders>
            <w:shd w:val="clear" w:color="auto" w:fill="FFFFFF" w:themeFill="background1"/>
            <w:vAlign w:val="center"/>
          </w:tcPr>
          <w:p w:rsidR="008D70FE" w:rsidRPr="001D532F" w:rsidRDefault="008D70FE" w:rsidP="00E53730">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Legal issue of "</w:t>
            </w:r>
            <w:proofErr w:type="spellStart"/>
            <w:r w:rsidRPr="001D532F">
              <w:rPr>
                <w:rFonts w:ascii="Arial" w:hAnsi="Arial" w:cs="Arial"/>
                <w:color w:val="6C6361"/>
                <w:sz w:val="23"/>
                <w:szCs w:val="23"/>
              </w:rPr>
              <w:t>Bitcoin</w:t>
            </w:r>
            <w:proofErr w:type="spellEnd"/>
            <w:r w:rsidRPr="001D532F">
              <w:rPr>
                <w:rFonts w:ascii="Arial" w:hAnsi="Arial" w:cs="Arial"/>
                <w:color w:val="6C6361"/>
                <w:sz w:val="23"/>
                <w:szCs w:val="23"/>
              </w:rPr>
              <w:t>" and concept of "</w:t>
            </w:r>
            <w:proofErr w:type="spellStart"/>
            <w:r w:rsidRPr="001D532F">
              <w:rPr>
                <w:rFonts w:ascii="Arial" w:hAnsi="Arial" w:cs="Arial"/>
                <w:color w:val="6C6361"/>
                <w:sz w:val="23"/>
                <w:szCs w:val="23"/>
              </w:rPr>
              <w:t>Blockchain</w:t>
            </w:r>
            <w:proofErr w:type="spellEnd"/>
            <w:r w:rsidRPr="001D532F">
              <w:rPr>
                <w:rFonts w:ascii="Arial" w:hAnsi="Arial" w:cs="Arial"/>
                <w:color w:val="6C6361"/>
                <w:sz w:val="23"/>
                <w:szCs w:val="23"/>
              </w:rPr>
              <w:t>"</w:t>
            </w:r>
          </w:p>
          <w:p w:rsidR="008D70FE" w:rsidRPr="001D532F" w:rsidRDefault="008D70FE" w:rsidP="00E53730">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 xml:space="preserve">What is a </w:t>
            </w:r>
            <w:proofErr w:type="spellStart"/>
            <w:r w:rsidRPr="001D532F">
              <w:rPr>
                <w:rFonts w:ascii="Arial" w:hAnsi="Arial" w:cs="Arial"/>
                <w:color w:val="6C6361"/>
                <w:sz w:val="23"/>
                <w:szCs w:val="23"/>
              </w:rPr>
              <w:t>cryptocurrency</w:t>
            </w:r>
            <w:proofErr w:type="spellEnd"/>
            <w:r w:rsidRPr="001D532F">
              <w:rPr>
                <w:rFonts w:ascii="Arial" w:hAnsi="Arial" w:cs="Arial"/>
                <w:color w:val="6C6361"/>
                <w:sz w:val="23"/>
                <w:szCs w:val="23"/>
              </w:rPr>
              <w:t xml:space="preserve"> or a digital token?</w:t>
            </w:r>
          </w:p>
          <w:p w:rsidR="008D70FE" w:rsidRPr="001D532F" w:rsidRDefault="008D70FE" w:rsidP="00E53730">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Legal Risks and Analysis of Digital Coins:</w:t>
            </w:r>
          </w:p>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Possible scams</w:t>
            </w:r>
          </w:p>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Risks associated with money laundering, terrorist financing or misuse for criminal activities</w:t>
            </w:r>
          </w:p>
        </w:tc>
        <w:tc>
          <w:tcPr>
            <w:tcW w:w="5386" w:type="dxa"/>
            <w:tcBorders>
              <w:top w:val="nil"/>
              <w:left w:val="nil"/>
              <w:bottom w:val="nil"/>
            </w:tcBorders>
            <w:shd w:val="clear" w:color="auto" w:fill="FFFFFF" w:themeFill="background1"/>
            <w:vAlign w:val="center"/>
          </w:tcPr>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6012FD">
              <w:rPr>
                <w:rFonts w:ascii="Arial" w:hAnsi="Arial" w:cs="Arial"/>
                <w:noProof/>
                <w:color w:val="6C6361"/>
                <w:sz w:val="23"/>
                <w:szCs w:val="23"/>
              </w:rPr>
              <w:drawing>
                <wp:anchor distT="0" distB="0" distL="114300" distR="114300" simplePos="0" relativeHeight="251660288" behindDoc="0" locked="0" layoutInCell="1" allowOverlap="1" wp14:anchorId="7264FCAB" wp14:editId="273E188B">
                  <wp:simplePos x="0" y="0"/>
                  <wp:positionH relativeFrom="column">
                    <wp:posOffset>2332355</wp:posOffset>
                  </wp:positionH>
                  <wp:positionV relativeFrom="paragraph">
                    <wp:posOffset>45085</wp:posOffset>
                  </wp:positionV>
                  <wp:extent cx="895985" cy="1022350"/>
                  <wp:effectExtent l="0" t="0" r="0" b="6350"/>
                  <wp:wrapThrough wrapText="bothSides">
                    <wp:wrapPolygon edited="0">
                      <wp:start x="0" y="0"/>
                      <wp:lineTo x="0" y="21332"/>
                      <wp:lineTo x="459" y="21332"/>
                      <wp:lineTo x="21125" y="21332"/>
                      <wp:lineTo x="21125" y="0"/>
                      <wp:lineTo x="1928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32F">
              <w:rPr>
                <w:rFonts w:ascii="Arial" w:hAnsi="Arial" w:cs="Arial"/>
                <w:color w:val="6C6361"/>
                <w:sz w:val="23"/>
                <w:szCs w:val="23"/>
              </w:rPr>
              <w:t>Platform risk</w:t>
            </w:r>
            <w:r>
              <w:rPr>
                <w:rFonts w:ascii="Arial" w:hAnsi="Arial" w:cs="Arial"/>
                <w:color w:val="6C6361"/>
                <w:sz w:val="23"/>
                <w:szCs w:val="23"/>
              </w:rPr>
              <w:t xml:space="preserve"> </w:t>
            </w:r>
          </w:p>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Wallet security</w:t>
            </w:r>
          </w:p>
          <w:p w:rsidR="008D70FE" w:rsidRPr="001D532F" w:rsidRDefault="008D70FE" w:rsidP="00E53730">
            <w:pPr>
              <w:pStyle w:val="ListParagraph"/>
              <w:numPr>
                <w:ilvl w:val="1"/>
                <w:numId w:val="2"/>
              </w:numPr>
              <w:spacing w:line="276" w:lineRule="auto"/>
              <w:jc w:val="left"/>
              <w:rPr>
                <w:rFonts w:ascii="Arial" w:hAnsi="Arial" w:cs="Arial"/>
                <w:color w:val="6C6361"/>
                <w:sz w:val="23"/>
                <w:szCs w:val="23"/>
              </w:rPr>
            </w:pPr>
            <w:r w:rsidRPr="001D532F">
              <w:rPr>
                <w:rFonts w:ascii="Arial" w:hAnsi="Arial" w:cs="Arial"/>
                <w:color w:val="6C6361"/>
                <w:sz w:val="23"/>
                <w:szCs w:val="23"/>
              </w:rPr>
              <w:t>Highly volatile and speculative</w:t>
            </w:r>
          </w:p>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Liquidity risk</w:t>
            </w:r>
          </w:p>
          <w:p w:rsidR="008D70FE" w:rsidRPr="001D532F" w:rsidRDefault="008D70FE" w:rsidP="00E53730">
            <w:pPr>
              <w:pStyle w:val="ListParagraph"/>
              <w:numPr>
                <w:ilvl w:val="1"/>
                <w:numId w:val="2"/>
              </w:numPr>
              <w:spacing w:line="276" w:lineRule="auto"/>
              <w:rPr>
                <w:rFonts w:ascii="Arial" w:hAnsi="Arial" w:cs="Arial"/>
                <w:color w:val="6C6361"/>
                <w:sz w:val="23"/>
                <w:szCs w:val="23"/>
              </w:rPr>
            </w:pPr>
            <w:r w:rsidRPr="001D532F">
              <w:rPr>
                <w:rFonts w:ascii="Arial" w:hAnsi="Arial" w:cs="Arial"/>
                <w:color w:val="6C6361"/>
                <w:sz w:val="23"/>
                <w:szCs w:val="23"/>
              </w:rPr>
              <w:t>Cross-border risk</w:t>
            </w:r>
          </w:p>
          <w:p w:rsidR="008D70FE" w:rsidRPr="001D532F" w:rsidRDefault="008D70FE" w:rsidP="00E53730">
            <w:pPr>
              <w:pStyle w:val="ListParagraph"/>
              <w:numPr>
                <w:ilvl w:val="0"/>
                <w:numId w:val="2"/>
              </w:numPr>
              <w:spacing w:line="276" w:lineRule="auto"/>
              <w:rPr>
                <w:rFonts w:ascii="Arial" w:hAnsi="Arial" w:cs="Arial"/>
                <w:color w:val="6C6361"/>
                <w:sz w:val="23"/>
                <w:szCs w:val="23"/>
              </w:rPr>
            </w:pPr>
            <w:r w:rsidRPr="001D532F">
              <w:rPr>
                <w:rFonts w:ascii="Arial" w:hAnsi="Arial" w:cs="Arial"/>
                <w:color w:val="6C6361"/>
                <w:sz w:val="23"/>
                <w:szCs w:val="23"/>
              </w:rPr>
              <w:t>Are digital tokens/</w:t>
            </w:r>
            <w:proofErr w:type="spellStart"/>
            <w:r w:rsidRPr="001D532F">
              <w:rPr>
                <w:rFonts w:ascii="Arial" w:hAnsi="Arial" w:cs="Arial"/>
                <w:color w:val="6C6361"/>
                <w:sz w:val="23"/>
                <w:szCs w:val="23"/>
              </w:rPr>
              <w:t>cryptocurrencies</w:t>
            </w:r>
            <w:proofErr w:type="spellEnd"/>
            <w:r w:rsidRPr="001D532F">
              <w:rPr>
                <w:rFonts w:ascii="Arial" w:hAnsi="Arial" w:cs="Arial"/>
                <w:color w:val="6C6361"/>
                <w:sz w:val="23"/>
                <w:szCs w:val="23"/>
              </w:rPr>
              <w:t xml:space="preserve"> and ICOs regulated in Hong Kong and other jurisdictions?</w:t>
            </w:r>
          </w:p>
        </w:tc>
      </w:tr>
    </w:tbl>
    <w:p w:rsidR="00CE6816" w:rsidRDefault="00CE6816" w:rsidP="00CE6816">
      <w:pPr>
        <w:spacing w:line="276" w:lineRule="auto"/>
        <w:jc w:val="left"/>
        <w:rPr>
          <w:rFonts w:ascii="Arial" w:hAnsi="Arial" w:cs="Arial"/>
          <w:sz w:val="16"/>
          <w:szCs w:val="16"/>
        </w:rPr>
      </w:pPr>
    </w:p>
    <w:p w:rsidR="008D70FE" w:rsidRPr="008D70FE" w:rsidRDefault="008D70FE" w:rsidP="00CE6816">
      <w:pPr>
        <w:spacing w:line="276" w:lineRule="auto"/>
        <w:jc w:val="left"/>
        <w:rPr>
          <w:rFonts w:ascii="Arial" w:hAnsi="Arial" w:cs="Arial"/>
          <w:sz w:val="2"/>
          <w:szCs w:val="2"/>
        </w:rPr>
      </w:pPr>
    </w:p>
    <w:p w:rsidR="00423572" w:rsidRPr="00423572" w:rsidRDefault="00423572" w:rsidP="00CE6816">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8D70FE" w:rsidRPr="00320F79" w:rsidTr="006D4D31">
        <w:trPr>
          <w:trHeight w:val="340"/>
          <w:jc w:val="center"/>
        </w:trPr>
        <w:tc>
          <w:tcPr>
            <w:tcW w:w="1695" w:type="dxa"/>
            <w:tcBorders>
              <w:top w:val="nil"/>
              <w:left w:val="nil"/>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EVT000000232</w:t>
            </w:r>
          </w:p>
        </w:tc>
        <w:tc>
          <w:tcPr>
            <w:tcW w:w="1700" w:type="dxa"/>
            <w:tcBorders>
              <w:top w:val="nil"/>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D70FE"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8D70FE" w:rsidRPr="001D532F"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30 July 2018 (Monday)</w:t>
            </w:r>
          </w:p>
        </w:tc>
        <w:tc>
          <w:tcPr>
            <w:tcW w:w="1700" w:type="dxa"/>
            <w:tcBorders>
              <w:top w:val="single" w:sz="12" w:space="0" w:color="FFFFFF"/>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D70FE"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8D70FE" w:rsidRPr="00D159B2"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8D70FE"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8D70FE" w:rsidRPr="007E00C3"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8D70FE"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8D70FE" w:rsidRPr="00320F79" w:rsidRDefault="008D70FE" w:rsidP="008D70F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D70FE" w:rsidRDefault="008D70FE" w:rsidP="008D70FE">
            <w:pPr>
              <w:jc w:val="right"/>
              <w:rPr>
                <w:rFonts w:ascii="Arial" w:hAnsi="Arial" w:cs="Arial"/>
                <w:b/>
                <w:color w:val="6C6361"/>
                <w:sz w:val="20"/>
                <w:szCs w:val="20"/>
              </w:rPr>
            </w:pPr>
          </w:p>
          <w:p w:rsidR="008D70FE" w:rsidRDefault="008D70FE" w:rsidP="008D70FE">
            <w:pPr>
              <w:jc w:val="right"/>
              <w:rPr>
                <w:rFonts w:ascii="Arial" w:hAnsi="Arial" w:cs="Arial"/>
                <w:b/>
                <w:color w:val="6C6361"/>
                <w:sz w:val="20"/>
                <w:szCs w:val="20"/>
              </w:rPr>
            </w:pPr>
          </w:p>
          <w:p w:rsidR="008D70FE" w:rsidRPr="00320F79" w:rsidRDefault="008D70FE" w:rsidP="008D70F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9137CC1" wp14:editId="2BA5E7A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D70FE" w:rsidRPr="00E2201B" w:rsidRDefault="008D70FE" w:rsidP="008D70FE">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8D70FE" w:rsidRPr="00156567"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B5E9D0" wp14:editId="5BD77DB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2AD" w:rsidRDefault="002132AD" w:rsidP="00546556">
      <w:r>
        <w:separator/>
      </w:r>
    </w:p>
  </w:endnote>
  <w:endnote w:type="continuationSeparator" w:id="0">
    <w:p w:rsidR="002132AD" w:rsidRDefault="002132A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2AD" w:rsidRDefault="002132AD" w:rsidP="00546556">
      <w:r>
        <w:separator/>
      </w:r>
    </w:p>
  </w:footnote>
  <w:footnote w:type="continuationSeparator" w:id="0">
    <w:p w:rsidR="002132AD" w:rsidRDefault="002132A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8g1Pe2c7tdFY2oBu5o5NQM4nF31u6zE/JIGaSzsrhAOji9bFtgZ2FrTP8vUhoxxW8kFwL6P+QZQ2lCiQDOw4w==" w:salt="HB7Tfh4m9uktt/Aq7G9RW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2AD"/>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0FE"/>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A9CEA-EE1F-485C-9BA0-B8E4E0D2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2942</CharactersWithSpaces>
  <SharedDoc>false</SharedDoc>
  <HyperlinkBase>http://download.profectional.com/events/EVT000000232.docx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Legal Issues of Bitcoin, Initial Coin Offerings (ICO) and Other "Cryptocurrencies"</dc:title>
  <dc:subject>CPD Course, CPT Course: Legal Issues of Bitcoin, Initial Coin Offerings (ICO) and Other "Cryptocurrencies"</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42</cp:revision>
  <cp:lastPrinted>2018-03-17T14:32:00Z</cp:lastPrinted>
  <dcterms:created xsi:type="dcterms:W3CDTF">2015-08-21T08:33:00Z</dcterms:created>
  <dcterms:modified xsi:type="dcterms:W3CDTF">2018-07-28T07:36:00Z</dcterms:modified>
</cp:coreProperties>
</file>