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2ED" w:rsidRPr="002812ED" w:rsidRDefault="002812ED" w:rsidP="002812ED">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2812ED" w:rsidRPr="00523A64" w:rsidTr="00E52A18">
        <w:trPr>
          <w:trHeight w:val="3119"/>
          <w:jc w:val="center"/>
        </w:trPr>
        <w:tc>
          <w:tcPr>
            <w:tcW w:w="4797" w:type="dxa"/>
            <w:shd w:val="clear" w:color="auto" w:fill="FFFFFF"/>
            <w:vAlign w:val="center"/>
          </w:tcPr>
          <w:p w:rsidR="002812ED" w:rsidRPr="001A3018" w:rsidRDefault="002812ED" w:rsidP="00E52A18">
            <w:pPr>
              <w:jc w:val="center"/>
              <w:rPr>
                <w:rFonts w:ascii="Arial" w:hAnsi="Arial" w:cs="Arial"/>
                <w:b/>
                <w:bCs/>
                <w:color w:val="524B48"/>
                <w:sz w:val="4"/>
                <w:szCs w:val="4"/>
              </w:rPr>
            </w:pPr>
          </w:p>
          <w:p w:rsidR="002812ED" w:rsidRDefault="002812ED" w:rsidP="00E52A18">
            <w:pPr>
              <w:jc w:val="center"/>
              <w:rPr>
                <w:rStyle w:val="Hyperlink"/>
                <w:rFonts w:ascii="Arial" w:hAnsi="Arial" w:cs="Arial"/>
                <w:b/>
                <w:bCs/>
                <w:color w:val="524B48"/>
                <w:sz w:val="32"/>
                <w:szCs w:val="32"/>
                <w:u w:val="none"/>
              </w:rPr>
            </w:pPr>
            <w:r w:rsidRPr="00CF685C">
              <w:fldChar w:fldCharType="begin"/>
            </w:r>
            <w:r>
              <w:instrText>HYPERLINK "http://cpd.hk/evt000000238/"</w:instrText>
            </w:r>
            <w:r w:rsidRPr="00CF685C">
              <w:fldChar w:fldCharType="separate"/>
            </w:r>
            <w:r>
              <w:rPr>
                <w:rStyle w:val="Hyperlink"/>
                <w:rFonts w:ascii="Arial" w:hAnsi="Arial" w:cs="Arial"/>
                <w:b/>
                <w:bCs/>
                <w:color w:val="524B48"/>
                <w:sz w:val="32"/>
                <w:szCs w:val="32"/>
                <w:u w:val="none"/>
              </w:rPr>
              <w:t>Uncertainty</w:t>
            </w:r>
          </w:p>
          <w:p w:rsidR="002812ED" w:rsidRDefault="002812ED" w:rsidP="00E52A1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 Express Trusts:</w:t>
            </w:r>
          </w:p>
          <w:p w:rsidR="002812ED" w:rsidRDefault="002812ED" w:rsidP="00E52A18">
            <w:pPr>
              <w:jc w:val="center"/>
              <w:rPr>
                <w:rStyle w:val="Hyperlink"/>
                <w:rFonts w:ascii="Arial" w:hAnsi="Arial" w:cs="Arial"/>
                <w:b/>
                <w:bCs/>
                <w:color w:val="524B48"/>
                <w:sz w:val="32"/>
                <w:szCs w:val="32"/>
                <w:u w:val="none"/>
              </w:rPr>
            </w:pPr>
            <w:r w:rsidRPr="00FA2DF8">
              <w:rPr>
                <w:rStyle w:val="Hyperlink"/>
                <w:rFonts w:ascii="Arial" w:hAnsi="Arial" w:cs="Arial"/>
                <w:b/>
                <w:bCs/>
                <w:color w:val="524B48"/>
                <w:sz w:val="32"/>
                <w:szCs w:val="32"/>
                <w:u w:val="none"/>
              </w:rPr>
              <w:t>Problems with Intention,</w:t>
            </w:r>
          </w:p>
          <w:p w:rsidR="002812ED" w:rsidRDefault="002812ED" w:rsidP="00E52A1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Subject Matter</w:t>
            </w:r>
          </w:p>
          <w:p w:rsidR="002812ED" w:rsidRDefault="002812ED" w:rsidP="00E52A18">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 Objects for</w:t>
            </w:r>
          </w:p>
          <w:p w:rsidR="002812ED" w:rsidRDefault="002812ED" w:rsidP="00E52A18">
            <w:pPr>
              <w:jc w:val="center"/>
              <w:rPr>
                <w:rStyle w:val="Hyperlink"/>
                <w:rFonts w:ascii="Arial" w:hAnsi="Arial" w:cs="Arial"/>
                <w:b/>
                <w:bCs/>
                <w:color w:val="524B48"/>
                <w:sz w:val="32"/>
                <w:szCs w:val="32"/>
                <w:u w:val="none"/>
              </w:rPr>
            </w:pPr>
            <w:r w:rsidRPr="00FA2DF8">
              <w:rPr>
                <w:rStyle w:val="Hyperlink"/>
                <w:rFonts w:ascii="Arial" w:hAnsi="Arial" w:cs="Arial"/>
                <w:b/>
                <w:bCs/>
                <w:color w:val="524B48"/>
                <w:sz w:val="32"/>
                <w:szCs w:val="32"/>
                <w:u w:val="none"/>
              </w:rPr>
              <w:t>Express Private Trusts</w:t>
            </w:r>
          </w:p>
          <w:p w:rsidR="002812ED" w:rsidRPr="00C65AFD" w:rsidRDefault="002812ED" w:rsidP="00E52A18">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2812ED" w:rsidRPr="00C65AFD" w:rsidRDefault="002812ED" w:rsidP="00E52A18">
            <w:pPr>
              <w:jc w:val="center"/>
              <w:rPr>
                <w:rFonts w:ascii="Arial" w:hAnsi="Arial" w:cs="Arial"/>
                <w:i/>
                <w:color w:val="6C6361"/>
                <w:sz w:val="24"/>
                <w:szCs w:val="24"/>
              </w:rPr>
            </w:pPr>
            <w:r w:rsidRPr="00C65AFD">
              <w:rPr>
                <w:rFonts w:ascii="Arial" w:hAnsi="Arial" w:cs="Arial"/>
                <w:i/>
                <w:color w:val="6C6361"/>
                <w:sz w:val="24"/>
                <w:szCs w:val="24"/>
              </w:rPr>
              <w:t>by</w:t>
            </w:r>
          </w:p>
          <w:p w:rsidR="002812ED" w:rsidRDefault="002812ED" w:rsidP="00E52A18">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rsidR="002812ED" w:rsidRDefault="002812ED" w:rsidP="00E52A18">
            <w:pPr>
              <w:jc w:val="center"/>
              <w:rPr>
                <w:rFonts w:ascii="Arial" w:hAnsi="Arial" w:cs="Arial"/>
                <w:color w:val="6C6361"/>
                <w:sz w:val="24"/>
                <w:szCs w:val="24"/>
              </w:rPr>
            </w:pPr>
            <w:r w:rsidRPr="00BB7007">
              <w:rPr>
                <w:rFonts w:ascii="Arial" w:hAnsi="Arial" w:cs="Arial"/>
                <w:color w:val="6C6361"/>
                <w:sz w:val="24"/>
                <w:szCs w:val="24"/>
              </w:rPr>
              <w:t>Associat</w:t>
            </w:r>
            <w:r>
              <w:rPr>
                <w:rFonts w:ascii="Arial" w:hAnsi="Arial" w:cs="Arial"/>
                <w:color w:val="6C6361"/>
                <w:sz w:val="24"/>
                <w:szCs w:val="24"/>
              </w:rPr>
              <w:t>e Professor of Practice in Law,</w:t>
            </w:r>
          </w:p>
          <w:p w:rsidR="002812ED" w:rsidRDefault="002812ED" w:rsidP="00E52A18">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rsidR="002812ED" w:rsidRDefault="002812ED" w:rsidP="00E52A18">
            <w:pPr>
              <w:jc w:val="center"/>
              <w:rPr>
                <w:rFonts w:ascii="Arial" w:hAnsi="Arial" w:cs="Arial"/>
                <w:color w:val="6C6361"/>
                <w:sz w:val="24"/>
                <w:szCs w:val="24"/>
              </w:rPr>
            </w:pPr>
            <w:r>
              <w:rPr>
                <w:rFonts w:ascii="Arial" w:hAnsi="Arial" w:cs="Arial"/>
                <w:color w:val="6C6361"/>
                <w:sz w:val="24"/>
                <w:szCs w:val="24"/>
              </w:rPr>
              <w:t>The Faculty of Law,</w:t>
            </w:r>
          </w:p>
          <w:p w:rsidR="002812ED" w:rsidRPr="007E02E6" w:rsidRDefault="002812ED" w:rsidP="00E52A18">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rsidR="002812ED" w:rsidRPr="00D87ECF" w:rsidRDefault="002812ED" w:rsidP="00E52A18">
            <w:pPr>
              <w:jc w:val="center"/>
              <w:rPr>
                <w:rFonts w:ascii="Arial" w:hAnsi="Arial" w:cs="Arial"/>
                <w:color w:val="6C6361"/>
                <w:sz w:val="8"/>
                <w:szCs w:val="8"/>
              </w:rPr>
            </w:pPr>
          </w:p>
        </w:tc>
        <w:tc>
          <w:tcPr>
            <w:tcW w:w="5976" w:type="dxa"/>
            <w:shd w:val="clear" w:color="auto" w:fill="FFFFFF"/>
            <w:vAlign w:val="center"/>
          </w:tcPr>
          <w:p w:rsidR="002812ED" w:rsidRPr="00D50772" w:rsidRDefault="002812ED" w:rsidP="00E52A18">
            <w:pPr>
              <w:spacing w:line="276" w:lineRule="auto"/>
              <w:rPr>
                <w:rFonts w:ascii="Arial" w:eastAsia="Times New Roman" w:hAnsi="Arial" w:cs="Arial"/>
                <w:noProof/>
                <w:sz w:val="20"/>
                <w:szCs w:val="20"/>
              </w:rPr>
            </w:pPr>
            <w:r w:rsidRPr="00F6186B">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64562FAE" wp14:editId="5970200B">
                  <wp:simplePos x="0" y="0"/>
                  <wp:positionH relativeFrom="column">
                    <wp:posOffset>3178175</wp:posOffset>
                  </wp:positionH>
                  <wp:positionV relativeFrom="paragraph">
                    <wp:posOffset>-427355</wp:posOffset>
                  </wp:positionV>
                  <wp:extent cx="539750" cy="546735"/>
                  <wp:effectExtent l="0" t="0" r="0" b="5715"/>
                  <wp:wrapNone/>
                  <wp:docPr id="10" name="Pictur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3D8A2D2C" wp14:editId="78F3CF64">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2812ED" w:rsidRPr="002812ED" w:rsidRDefault="002812ED" w:rsidP="002812ED">
      <w:pPr>
        <w:spacing w:line="276" w:lineRule="auto"/>
        <w:jc w:val="left"/>
        <w:rPr>
          <w:rFonts w:ascii="Arial" w:hAnsi="Arial" w:cs="Arial"/>
          <w:sz w:val="14"/>
          <w:szCs w:val="18"/>
        </w:rPr>
      </w:pPr>
    </w:p>
    <w:tbl>
      <w:tblPr>
        <w:tblW w:w="10773" w:type="dxa"/>
        <w:jc w:val="center"/>
        <w:tblLook w:val="04A0" w:firstRow="1" w:lastRow="0" w:firstColumn="1" w:lastColumn="0" w:noHBand="0" w:noVBand="1"/>
      </w:tblPr>
      <w:tblGrid>
        <w:gridCol w:w="1985"/>
        <w:gridCol w:w="8788"/>
      </w:tblGrid>
      <w:tr w:rsidR="002812ED" w:rsidRPr="000F3FFC" w:rsidTr="00E52A18">
        <w:trPr>
          <w:trHeight w:val="2515"/>
          <w:jc w:val="center"/>
        </w:trPr>
        <w:tc>
          <w:tcPr>
            <w:tcW w:w="1985" w:type="dxa"/>
            <w:shd w:val="clear" w:color="auto" w:fill="FFFFFF"/>
            <w:vAlign w:val="center"/>
          </w:tcPr>
          <w:p w:rsidR="002812ED" w:rsidRPr="000F3FFC" w:rsidRDefault="002812ED" w:rsidP="00E52A18">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3C682A70" wp14:editId="0330CEF4">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2812ED" w:rsidRPr="001900E2" w:rsidRDefault="002812ED" w:rsidP="002812ED">
            <w:pPr>
              <w:pStyle w:val="NormalWeb"/>
              <w:jc w:val="both"/>
              <w:rPr>
                <w:rFonts w:ascii="Arial" w:hAnsi="Arial" w:cs="Arial"/>
                <w:color w:val="6C6361"/>
                <w:sz w:val="21"/>
                <w:szCs w:val="21"/>
              </w:rPr>
            </w:pPr>
            <w:r w:rsidRPr="001900E2">
              <w:rPr>
                <w:rFonts w:ascii="Arial" w:hAnsi="Arial" w:cs="Arial"/>
                <w:color w:val="6C6361"/>
                <w:sz w:val="21"/>
                <w:szCs w:val="21"/>
              </w:rPr>
              <w:t xml:space="preserve">Steven Gallagher was awarded a first class LL.B. He was called to the Bar of England and Wales in 2006. Steven has taught Equity and Trusts, Land Law and Company Law to undergraduates and International Corporate Liquidation and International Corporate Governance to postgraduates in England and Hong Kong. Steven teaches the Equity and Trusts courses for undergraduate students, the Principles of Equity and Trusts course on the Juris Doctor course and, in 2013, introduced the Principles of Cultural Heritage Law course to the LLM </w:t>
            </w:r>
            <w:proofErr w:type="spellStart"/>
            <w:r w:rsidRPr="001900E2">
              <w:rPr>
                <w:rFonts w:ascii="Arial" w:hAnsi="Arial" w:cs="Arial"/>
                <w:color w:val="6C6361"/>
                <w:sz w:val="21"/>
                <w:szCs w:val="21"/>
              </w:rPr>
              <w:t>programme</w:t>
            </w:r>
            <w:proofErr w:type="spellEnd"/>
            <w:r w:rsidRPr="001900E2">
              <w:rPr>
                <w:rFonts w:ascii="Arial" w:hAnsi="Arial" w:cs="Arial"/>
                <w:color w:val="6C6361"/>
                <w:sz w:val="21"/>
                <w:szCs w:val="21"/>
              </w:rPr>
              <w:t xml:space="preserve"> at the Chinese University of Hong Kong. Steven has presented continuing professional development courses for solicitors in Hong Kong on many topics associated with equity. Steven’s research interests include equity and the law of trusts, cultural heritage law and legal history.</w:t>
            </w:r>
          </w:p>
        </w:tc>
      </w:tr>
    </w:tbl>
    <w:p w:rsidR="002812ED" w:rsidRPr="002812ED" w:rsidRDefault="002812ED" w:rsidP="002812ED">
      <w:pPr>
        <w:spacing w:line="276" w:lineRule="auto"/>
        <w:jc w:val="left"/>
        <w:rPr>
          <w:rFonts w:ascii="Arial" w:hAnsi="Arial" w:cs="Arial"/>
          <w:sz w:val="14"/>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5387"/>
        <w:gridCol w:w="5386"/>
      </w:tblGrid>
      <w:tr w:rsidR="002812ED" w:rsidRPr="00F6186B" w:rsidTr="00E52A18">
        <w:trPr>
          <w:trHeight w:val="2041"/>
          <w:jc w:val="center"/>
        </w:trPr>
        <w:tc>
          <w:tcPr>
            <w:tcW w:w="10773" w:type="dxa"/>
            <w:gridSpan w:val="2"/>
            <w:tcBorders>
              <w:top w:val="nil"/>
              <w:bottom w:val="nil"/>
            </w:tcBorders>
            <w:shd w:val="clear" w:color="auto" w:fill="FFFFFF" w:themeFill="background1"/>
            <w:vAlign w:val="center"/>
          </w:tcPr>
          <w:p w:rsidR="002812ED" w:rsidRPr="00F6186B" w:rsidRDefault="002812ED" w:rsidP="00E52A18">
            <w:pPr>
              <w:spacing w:line="276" w:lineRule="auto"/>
              <w:rPr>
                <w:rFonts w:ascii="Arial" w:hAnsi="Arial" w:cs="Arial"/>
                <w:color w:val="6C6361"/>
                <w:sz w:val="19"/>
                <w:szCs w:val="19"/>
              </w:rPr>
            </w:pPr>
            <w:r w:rsidRPr="00455C47">
              <w:rPr>
                <w:rFonts w:ascii="Arial" w:hAnsi="Arial" w:cs="Arial"/>
                <w:noProof/>
                <w:color w:val="6C6361"/>
                <w:sz w:val="19"/>
                <w:szCs w:val="19"/>
              </w:rPr>
              <w:drawing>
                <wp:anchor distT="0" distB="0" distL="114300" distR="114300" simplePos="0" relativeHeight="251660288" behindDoc="0" locked="0" layoutInCell="1" allowOverlap="1" wp14:anchorId="028005F7" wp14:editId="0471855E">
                  <wp:simplePos x="0" y="0"/>
                  <wp:positionH relativeFrom="column">
                    <wp:posOffset>5762625</wp:posOffset>
                  </wp:positionH>
                  <wp:positionV relativeFrom="paragraph">
                    <wp:posOffset>133985</wp:posOffset>
                  </wp:positionV>
                  <wp:extent cx="892175" cy="1018540"/>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186B">
              <w:rPr>
                <w:rFonts w:ascii="Arial" w:hAnsi="Arial" w:cs="Arial"/>
                <w:color w:val="6C6361"/>
                <w:sz w:val="19"/>
                <w:szCs w:val="19"/>
              </w:rPr>
              <w:t>This 3-hour seminar will provide an introduction to the problems associated with uncertainty and trusts.  Equity requires three certainties for the establishment of a valid and enforceable express private trust.  The three certainties of intention, subject and object ensure that the settlor intended to create a trust, identify the property that is subject to the trust, the beneficiaries of the trust and their interests in the trust property.  The certainties are necessary so that trustees clearly understand their obligations and to whom they owe them.  This seminar will discuss the development of the three certainties, why they are necessary, and the tests used by the courts in Hong Kong today to establish them.  The seminar will also consider the problems in establishing the three certainties and methods to avoid uncertainty in testamentary provisions.</w:t>
            </w:r>
          </w:p>
        </w:tc>
      </w:tr>
      <w:tr w:rsidR="002812ED" w:rsidRPr="00F6186B" w:rsidTr="00E52A18">
        <w:trPr>
          <w:trHeight w:val="284"/>
          <w:jc w:val="center"/>
        </w:trPr>
        <w:tc>
          <w:tcPr>
            <w:tcW w:w="10773" w:type="dxa"/>
            <w:gridSpan w:val="2"/>
            <w:tcBorders>
              <w:top w:val="nil"/>
              <w:bottom w:val="nil"/>
            </w:tcBorders>
            <w:shd w:val="clear" w:color="auto" w:fill="F0EBE1"/>
            <w:vAlign w:val="center"/>
          </w:tcPr>
          <w:p w:rsidR="002812ED" w:rsidRPr="00F6186B" w:rsidRDefault="002812ED" w:rsidP="00E52A18">
            <w:pPr>
              <w:spacing w:line="276" w:lineRule="auto"/>
              <w:jc w:val="left"/>
              <w:rPr>
                <w:rFonts w:ascii="Arial" w:hAnsi="Arial" w:cs="Arial"/>
                <w:b/>
                <w:color w:val="524B48"/>
                <w:sz w:val="19"/>
                <w:szCs w:val="19"/>
              </w:rPr>
            </w:pPr>
            <w:r w:rsidRPr="00F6186B">
              <w:rPr>
                <w:rFonts w:ascii="Arial" w:hAnsi="Arial" w:cs="Arial"/>
                <w:b/>
                <w:color w:val="524B48"/>
                <w:sz w:val="19"/>
                <w:szCs w:val="19"/>
              </w:rPr>
              <w:t>Some of the topics considered in this seminar will be:</w:t>
            </w:r>
          </w:p>
        </w:tc>
      </w:tr>
      <w:tr w:rsidR="002812ED" w:rsidRPr="00F6186B" w:rsidTr="00E52A18">
        <w:trPr>
          <w:trHeight w:val="1814"/>
          <w:jc w:val="center"/>
        </w:trPr>
        <w:tc>
          <w:tcPr>
            <w:tcW w:w="5387" w:type="dxa"/>
            <w:tcBorders>
              <w:top w:val="nil"/>
              <w:bottom w:val="nil"/>
              <w:right w:val="nil"/>
            </w:tcBorders>
            <w:shd w:val="clear" w:color="auto" w:fill="FFFFFF" w:themeFill="background1"/>
            <w:vAlign w:val="center"/>
          </w:tcPr>
          <w:p w:rsidR="002812ED" w:rsidRPr="00F6186B" w:rsidRDefault="002812ED" w:rsidP="00E52A18">
            <w:pPr>
              <w:pStyle w:val="ListParagraph"/>
              <w:numPr>
                <w:ilvl w:val="0"/>
                <w:numId w:val="2"/>
              </w:numPr>
              <w:spacing w:line="276" w:lineRule="auto"/>
              <w:jc w:val="left"/>
              <w:rPr>
                <w:rFonts w:ascii="Arial" w:hAnsi="Arial" w:cs="Arial"/>
                <w:color w:val="6C6361"/>
                <w:sz w:val="19"/>
                <w:szCs w:val="19"/>
              </w:rPr>
            </w:pPr>
            <w:r w:rsidRPr="00F6186B">
              <w:rPr>
                <w:rFonts w:ascii="Arial" w:hAnsi="Arial" w:cs="Arial"/>
                <w:color w:val="6C6361"/>
                <w:sz w:val="19"/>
                <w:szCs w:val="19"/>
              </w:rPr>
              <w:t>The development of the three certainties;</w:t>
            </w:r>
          </w:p>
          <w:p w:rsidR="002812ED" w:rsidRPr="00F6186B" w:rsidRDefault="002812ED" w:rsidP="00E52A18">
            <w:pPr>
              <w:pStyle w:val="ListParagraph"/>
              <w:numPr>
                <w:ilvl w:val="0"/>
                <w:numId w:val="2"/>
              </w:numPr>
              <w:spacing w:line="276" w:lineRule="auto"/>
              <w:jc w:val="left"/>
              <w:rPr>
                <w:rFonts w:ascii="Arial" w:hAnsi="Arial" w:cs="Arial"/>
                <w:color w:val="6C6361"/>
                <w:sz w:val="19"/>
                <w:szCs w:val="19"/>
              </w:rPr>
            </w:pPr>
            <w:r w:rsidRPr="00F6186B">
              <w:rPr>
                <w:rFonts w:ascii="Arial" w:hAnsi="Arial" w:cs="Arial"/>
                <w:color w:val="6C6361"/>
                <w:sz w:val="19"/>
                <w:szCs w:val="19"/>
              </w:rPr>
              <w:t>Certainty of intention;</w:t>
            </w:r>
          </w:p>
          <w:p w:rsidR="002812ED" w:rsidRPr="00F6186B" w:rsidRDefault="002812ED" w:rsidP="00E52A18">
            <w:pPr>
              <w:pStyle w:val="ListParagraph"/>
              <w:numPr>
                <w:ilvl w:val="0"/>
                <w:numId w:val="2"/>
              </w:numPr>
              <w:spacing w:line="276" w:lineRule="auto"/>
              <w:jc w:val="left"/>
              <w:rPr>
                <w:rFonts w:ascii="Arial" w:hAnsi="Arial" w:cs="Arial"/>
                <w:color w:val="6C6361"/>
                <w:sz w:val="19"/>
                <w:szCs w:val="19"/>
              </w:rPr>
            </w:pPr>
            <w:r w:rsidRPr="00F6186B">
              <w:rPr>
                <w:rFonts w:ascii="Arial" w:hAnsi="Arial" w:cs="Arial"/>
                <w:color w:val="6C6361"/>
                <w:sz w:val="19"/>
                <w:szCs w:val="19"/>
              </w:rPr>
              <w:t>Gifts, trusts and powers of appointment;</w:t>
            </w:r>
          </w:p>
          <w:p w:rsidR="002812ED" w:rsidRPr="00F6186B" w:rsidRDefault="002812ED" w:rsidP="00E52A18">
            <w:pPr>
              <w:pStyle w:val="ListParagraph"/>
              <w:numPr>
                <w:ilvl w:val="0"/>
                <w:numId w:val="2"/>
              </w:numPr>
              <w:spacing w:line="276" w:lineRule="auto"/>
              <w:jc w:val="left"/>
              <w:rPr>
                <w:rFonts w:ascii="Arial" w:hAnsi="Arial" w:cs="Arial"/>
                <w:color w:val="6C6361"/>
                <w:sz w:val="19"/>
                <w:szCs w:val="19"/>
              </w:rPr>
            </w:pPr>
            <w:r w:rsidRPr="00F6186B">
              <w:rPr>
                <w:rFonts w:ascii="Arial" w:hAnsi="Arial" w:cs="Arial"/>
                <w:color w:val="6C6361"/>
                <w:sz w:val="19"/>
                <w:szCs w:val="19"/>
              </w:rPr>
              <w:t>The problem with words and the construction rule;</w:t>
            </w:r>
          </w:p>
          <w:p w:rsidR="002812ED" w:rsidRPr="00F6186B" w:rsidRDefault="002812ED" w:rsidP="00E52A18">
            <w:pPr>
              <w:pStyle w:val="ListParagraph"/>
              <w:numPr>
                <w:ilvl w:val="0"/>
                <w:numId w:val="2"/>
              </w:numPr>
              <w:spacing w:line="276" w:lineRule="auto"/>
              <w:jc w:val="left"/>
              <w:rPr>
                <w:rFonts w:ascii="Arial" w:hAnsi="Arial" w:cs="Arial"/>
                <w:color w:val="6C6361"/>
                <w:sz w:val="19"/>
                <w:szCs w:val="19"/>
              </w:rPr>
            </w:pPr>
            <w:r w:rsidRPr="00F6186B">
              <w:rPr>
                <w:rFonts w:ascii="Arial" w:hAnsi="Arial" w:cs="Arial"/>
                <w:color w:val="6C6361"/>
                <w:sz w:val="19"/>
                <w:szCs w:val="19"/>
              </w:rPr>
              <w:t>Certainty of beneficial interest and subject matter;</w:t>
            </w:r>
          </w:p>
          <w:p w:rsidR="002812ED" w:rsidRPr="00F6186B" w:rsidRDefault="002812ED" w:rsidP="00E52A18">
            <w:pPr>
              <w:pStyle w:val="ListParagraph"/>
              <w:numPr>
                <w:ilvl w:val="0"/>
                <w:numId w:val="2"/>
              </w:numPr>
              <w:spacing w:line="276" w:lineRule="auto"/>
              <w:jc w:val="left"/>
              <w:rPr>
                <w:rFonts w:ascii="Arial" w:hAnsi="Arial" w:cs="Arial"/>
                <w:color w:val="6C6361"/>
                <w:sz w:val="19"/>
                <w:szCs w:val="19"/>
              </w:rPr>
            </w:pPr>
            <w:r w:rsidRPr="00F6186B">
              <w:rPr>
                <w:rFonts w:ascii="Arial" w:hAnsi="Arial" w:cs="Arial"/>
                <w:color w:val="6C6361"/>
                <w:sz w:val="19"/>
                <w:szCs w:val="19"/>
              </w:rPr>
              <w:t>The problem with trusts of wine and gold;</w:t>
            </w:r>
          </w:p>
          <w:p w:rsidR="002812ED" w:rsidRPr="00F6186B" w:rsidRDefault="002812ED" w:rsidP="00E52A18">
            <w:pPr>
              <w:pStyle w:val="ListParagraph"/>
              <w:numPr>
                <w:ilvl w:val="0"/>
                <w:numId w:val="2"/>
              </w:numPr>
              <w:spacing w:line="276" w:lineRule="auto"/>
              <w:jc w:val="left"/>
              <w:rPr>
                <w:rFonts w:ascii="Arial" w:hAnsi="Arial" w:cs="Arial"/>
                <w:color w:val="6C6361"/>
                <w:sz w:val="19"/>
                <w:szCs w:val="19"/>
              </w:rPr>
            </w:pPr>
            <w:r w:rsidRPr="00F6186B">
              <w:rPr>
                <w:rFonts w:ascii="Arial" w:hAnsi="Arial" w:cs="Arial"/>
                <w:color w:val="6C6361"/>
                <w:sz w:val="19"/>
                <w:szCs w:val="19"/>
              </w:rPr>
              <w:t>Why shares are special;</w:t>
            </w:r>
          </w:p>
        </w:tc>
        <w:tc>
          <w:tcPr>
            <w:tcW w:w="5386" w:type="dxa"/>
            <w:tcBorders>
              <w:top w:val="nil"/>
              <w:left w:val="nil"/>
              <w:bottom w:val="nil"/>
            </w:tcBorders>
            <w:shd w:val="clear" w:color="auto" w:fill="FFFFFF" w:themeFill="background1"/>
            <w:vAlign w:val="center"/>
          </w:tcPr>
          <w:p w:rsidR="002812ED" w:rsidRPr="00F6186B" w:rsidRDefault="002812ED" w:rsidP="00E52A18">
            <w:pPr>
              <w:pStyle w:val="ListParagraph"/>
              <w:numPr>
                <w:ilvl w:val="0"/>
                <w:numId w:val="2"/>
              </w:numPr>
              <w:spacing w:line="276" w:lineRule="auto"/>
              <w:jc w:val="left"/>
              <w:rPr>
                <w:rFonts w:ascii="Arial" w:hAnsi="Arial" w:cs="Arial"/>
                <w:color w:val="6C6361"/>
                <w:sz w:val="19"/>
                <w:szCs w:val="19"/>
              </w:rPr>
            </w:pPr>
            <w:r w:rsidRPr="00F6186B">
              <w:rPr>
                <w:rFonts w:ascii="Arial" w:hAnsi="Arial" w:cs="Arial"/>
                <w:color w:val="6C6361"/>
                <w:sz w:val="19"/>
                <w:szCs w:val="19"/>
              </w:rPr>
              <w:t>Identification or segregation of trust property;</w:t>
            </w:r>
          </w:p>
          <w:p w:rsidR="002812ED" w:rsidRPr="00F6186B" w:rsidRDefault="002812ED" w:rsidP="00E52A18">
            <w:pPr>
              <w:pStyle w:val="ListParagraph"/>
              <w:numPr>
                <w:ilvl w:val="0"/>
                <w:numId w:val="2"/>
              </w:numPr>
              <w:spacing w:line="276" w:lineRule="auto"/>
              <w:jc w:val="left"/>
              <w:rPr>
                <w:rFonts w:ascii="Arial" w:hAnsi="Arial" w:cs="Arial"/>
                <w:color w:val="6C6361"/>
                <w:sz w:val="19"/>
                <w:szCs w:val="19"/>
              </w:rPr>
            </w:pPr>
            <w:r w:rsidRPr="00F6186B">
              <w:rPr>
                <w:rFonts w:ascii="Arial" w:hAnsi="Arial" w:cs="Arial"/>
                <w:color w:val="6C6361"/>
                <w:sz w:val="19"/>
                <w:szCs w:val="19"/>
              </w:rPr>
              <w:t xml:space="preserve">Trusts Over ‘Whatever </w:t>
            </w:r>
            <w:r>
              <w:rPr>
                <w:rFonts w:ascii="Arial" w:hAnsi="Arial" w:cs="Arial"/>
                <w:color w:val="6C6361"/>
                <w:sz w:val="19"/>
                <w:szCs w:val="19"/>
              </w:rPr>
              <w:t>i</w:t>
            </w:r>
            <w:r w:rsidRPr="00F6186B">
              <w:rPr>
                <w:rFonts w:ascii="Arial" w:hAnsi="Arial" w:cs="Arial"/>
                <w:color w:val="6C6361"/>
                <w:sz w:val="19"/>
                <w:szCs w:val="19"/>
              </w:rPr>
              <w:t>s Left’;</w:t>
            </w:r>
          </w:p>
          <w:p w:rsidR="002812ED" w:rsidRPr="00F6186B" w:rsidRDefault="002812ED" w:rsidP="00E52A18">
            <w:pPr>
              <w:pStyle w:val="ListParagraph"/>
              <w:numPr>
                <w:ilvl w:val="0"/>
                <w:numId w:val="2"/>
              </w:numPr>
              <w:spacing w:line="276" w:lineRule="auto"/>
              <w:jc w:val="left"/>
              <w:rPr>
                <w:rFonts w:ascii="Arial" w:hAnsi="Arial" w:cs="Arial"/>
                <w:color w:val="6C6361"/>
                <w:sz w:val="19"/>
                <w:szCs w:val="19"/>
              </w:rPr>
            </w:pPr>
            <w:r w:rsidRPr="00F6186B">
              <w:rPr>
                <w:rFonts w:ascii="Arial" w:hAnsi="Arial" w:cs="Arial"/>
                <w:color w:val="6C6361"/>
                <w:sz w:val="19"/>
                <w:szCs w:val="19"/>
              </w:rPr>
              <w:t>Identifying beneficial interests;</w:t>
            </w:r>
          </w:p>
          <w:p w:rsidR="002812ED" w:rsidRPr="00F6186B" w:rsidRDefault="002812ED" w:rsidP="00E52A18">
            <w:pPr>
              <w:pStyle w:val="ListParagraph"/>
              <w:numPr>
                <w:ilvl w:val="0"/>
                <w:numId w:val="2"/>
              </w:numPr>
              <w:spacing w:line="276" w:lineRule="auto"/>
              <w:jc w:val="left"/>
              <w:rPr>
                <w:rFonts w:ascii="Arial" w:hAnsi="Arial" w:cs="Arial"/>
                <w:color w:val="6C6361"/>
                <w:sz w:val="19"/>
                <w:szCs w:val="19"/>
              </w:rPr>
            </w:pPr>
            <w:r w:rsidRPr="00F6186B">
              <w:rPr>
                <w:rFonts w:ascii="Arial" w:hAnsi="Arial" w:cs="Arial"/>
                <w:color w:val="6C6361"/>
                <w:sz w:val="19"/>
                <w:szCs w:val="19"/>
              </w:rPr>
              <w:t>Ascertaining beneficiaries;</w:t>
            </w:r>
          </w:p>
          <w:p w:rsidR="002812ED" w:rsidRPr="00F6186B" w:rsidRDefault="002812ED" w:rsidP="00E52A18">
            <w:pPr>
              <w:pStyle w:val="ListParagraph"/>
              <w:numPr>
                <w:ilvl w:val="0"/>
                <w:numId w:val="2"/>
              </w:numPr>
              <w:spacing w:line="276" w:lineRule="auto"/>
              <w:jc w:val="left"/>
              <w:rPr>
                <w:rFonts w:ascii="Arial" w:hAnsi="Arial" w:cs="Arial"/>
                <w:color w:val="6C6361"/>
                <w:sz w:val="19"/>
                <w:szCs w:val="19"/>
              </w:rPr>
            </w:pPr>
            <w:r w:rsidRPr="00F6186B">
              <w:rPr>
                <w:rFonts w:ascii="Arial" w:hAnsi="Arial" w:cs="Arial"/>
                <w:color w:val="6C6361"/>
                <w:sz w:val="19"/>
                <w:szCs w:val="19"/>
              </w:rPr>
              <w:t>The development of the tests for certainty of objects;</w:t>
            </w:r>
          </w:p>
          <w:p w:rsidR="002812ED" w:rsidRPr="00F6186B" w:rsidRDefault="002812ED" w:rsidP="00E52A18">
            <w:pPr>
              <w:pStyle w:val="ListParagraph"/>
              <w:numPr>
                <w:ilvl w:val="0"/>
                <w:numId w:val="2"/>
              </w:numPr>
              <w:spacing w:line="276" w:lineRule="auto"/>
              <w:jc w:val="left"/>
              <w:rPr>
                <w:rFonts w:ascii="Arial" w:hAnsi="Arial" w:cs="Arial"/>
                <w:color w:val="6C6361"/>
                <w:sz w:val="19"/>
                <w:szCs w:val="19"/>
              </w:rPr>
            </w:pPr>
            <w:r w:rsidRPr="00F6186B">
              <w:rPr>
                <w:rFonts w:ascii="Arial" w:hAnsi="Arial" w:cs="Arial"/>
                <w:color w:val="6C6361"/>
                <w:sz w:val="19"/>
                <w:szCs w:val="19"/>
              </w:rPr>
              <w:t>Limitations of the tests;</w:t>
            </w:r>
          </w:p>
          <w:p w:rsidR="002812ED" w:rsidRPr="00F6186B" w:rsidRDefault="002812ED" w:rsidP="00E52A18">
            <w:pPr>
              <w:pStyle w:val="ListParagraph"/>
              <w:numPr>
                <w:ilvl w:val="0"/>
                <w:numId w:val="2"/>
              </w:numPr>
              <w:spacing w:line="276" w:lineRule="auto"/>
              <w:jc w:val="left"/>
              <w:rPr>
                <w:rFonts w:ascii="Arial" w:hAnsi="Arial" w:cs="Arial"/>
                <w:color w:val="6C6361"/>
                <w:sz w:val="19"/>
                <w:szCs w:val="19"/>
              </w:rPr>
            </w:pPr>
            <w:r w:rsidRPr="00F6186B">
              <w:rPr>
                <w:rFonts w:ascii="Arial" w:hAnsi="Arial" w:cs="Arial"/>
                <w:color w:val="6C6361"/>
                <w:sz w:val="19"/>
                <w:szCs w:val="19"/>
              </w:rPr>
              <w:t>Making everything certain.</w:t>
            </w:r>
          </w:p>
        </w:tc>
      </w:tr>
    </w:tbl>
    <w:p w:rsidR="00680C81" w:rsidRPr="002812ED" w:rsidRDefault="00680C81" w:rsidP="00680C81">
      <w:pPr>
        <w:spacing w:line="276" w:lineRule="auto"/>
        <w:rPr>
          <w:rFonts w:ascii="Arial" w:hAnsi="Arial" w:cs="Arial"/>
          <w:sz w:val="14"/>
          <w:szCs w:val="1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370"/>
        <w:gridCol w:w="1315"/>
      </w:tblGrid>
      <w:tr w:rsidR="002812ED" w:rsidRPr="00320F79" w:rsidTr="00961D9A">
        <w:trPr>
          <w:trHeight w:val="340"/>
          <w:jc w:val="center"/>
        </w:trPr>
        <w:tc>
          <w:tcPr>
            <w:tcW w:w="1701" w:type="dxa"/>
            <w:tcBorders>
              <w:top w:val="nil"/>
              <w:left w:val="nil"/>
              <w:bottom w:val="single" w:sz="12" w:space="0" w:color="FFFFFF"/>
            </w:tcBorders>
            <w:shd w:val="clear" w:color="auto" w:fill="F0EBE1"/>
            <w:vAlign w:val="center"/>
          </w:tcPr>
          <w:p w:rsidR="002812ED" w:rsidRPr="00320F79" w:rsidRDefault="002812ED" w:rsidP="002812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2812ED" w:rsidRPr="00320F79" w:rsidRDefault="002812ED" w:rsidP="002812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EVT000000238</w:t>
            </w:r>
          </w:p>
        </w:tc>
        <w:tc>
          <w:tcPr>
            <w:tcW w:w="1701" w:type="dxa"/>
            <w:tcBorders>
              <w:top w:val="nil"/>
              <w:bottom w:val="single" w:sz="12" w:space="0" w:color="FFFFFF"/>
            </w:tcBorders>
            <w:shd w:val="clear" w:color="auto" w:fill="F0EBE1"/>
            <w:vAlign w:val="center"/>
          </w:tcPr>
          <w:p w:rsidR="002812ED" w:rsidRPr="00320F79" w:rsidRDefault="002812ED" w:rsidP="002812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2812ED" w:rsidRPr="00320F79" w:rsidRDefault="002812ED" w:rsidP="002812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2812ED" w:rsidRPr="00320F79" w:rsidTr="00961D9A">
        <w:trPr>
          <w:trHeight w:val="340"/>
          <w:jc w:val="center"/>
        </w:trPr>
        <w:tc>
          <w:tcPr>
            <w:tcW w:w="1701" w:type="dxa"/>
            <w:tcBorders>
              <w:top w:val="single" w:sz="12" w:space="0" w:color="FFFFFF"/>
              <w:left w:val="nil"/>
              <w:bottom w:val="single" w:sz="12" w:space="0" w:color="FFFFFF"/>
            </w:tcBorders>
            <w:shd w:val="clear" w:color="auto" w:fill="F0EBE1"/>
            <w:vAlign w:val="center"/>
          </w:tcPr>
          <w:p w:rsidR="002812ED" w:rsidRPr="00320F79" w:rsidRDefault="002812ED" w:rsidP="002812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2812ED" w:rsidRPr="00320F79" w:rsidRDefault="002812ED" w:rsidP="002812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455C47">
              <w:rPr>
                <w:rFonts w:ascii="Arial" w:hAnsi="Arial" w:cs="Arial"/>
                <w:b/>
                <w:color w:val="6C6361"/>
                <w:sz w:val="20"/>
                <w:szCs w:val="20"/>
              </w:rPr>
              <w:t>17 August 2018 (Friday) (Amended)</w:t>
            </w:r>
          </w:p>
        </w:tc>
        <w:tc>
          <w:tcPr>
            <w:tcW w:w="1701" w:type="dxa"/>
            <w:tcBorders>
              <w:top w:val="single" w:sz="12" w:space="0" w:color="FFFFFF"/>
              <w:bottom w:val="single" w:sz="12" w:space="0" w:color="FFFFFF"/>
            </w:tcBorders>
            <w:shd w:val="clear" w:color="auto" w:fill="F0EBE1"/>
            <w:vAlign w:val="center"/>
          </w:tcPr>
          <w:p w:rsidR="002812ED" w:rsidRPr="00320F79" w:rsidRDefault="002812ED" w:rsidP="002812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2812ED" w:rsidRPr="00320F79" w:rsidRDefault="002812ED" w:rsidP="002812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2812ED" w:rsidRPr="00320F79" w:rsidTr="00961D9A">
        <w:trPr>
          <w:trHeight w:val="340"/>
          <w:jc w:val="center"/>
        </w:trPr>
        <w:tc>
          <w:tcPr>
            <w:tcW w:w="1701" w:type="dxa"/>
            <w:tcBorders>
              <w:top w:val="single" w:sz="12" w:space="0" w:color="FFFFFF"/>
              <w:left w:val="nil"/>
              <w:bottom w:val="single" w:sz="12" w:space="0" w:color="FFFFFF"/>
            </w:tcBorders>
            <w:shd w:val="clear" w:color="auto" w:fill="F0EBE1"/>
            <w:vAlign w:val="center"/>
          </w:tcPr>
          <w:p w:rsidR="002812ED" w:rsidRPr="00320F79" w:rsidRDefault="002812ED" w:rsidP="002812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2812ED" w:rsidRDefault="002812ED" w:rsidP="002812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455C47">
              <w:rPr>
                <w:rFonts w:ascii="Arial" w:hAnsi="Arial" w:cs="Arial"/>
                <w:b/>
                <w:color w:val="6C6361"/>
                <w:sz w:val="20"/>
                <w:szCs w:val="20"/>
              </w:rPr>
              <w:t xml:space="preserve">14:30 - 17:45 (Amended) </w:t>
            </w:r>
          </w:p>
          <w:p w:rsidR="002812ED" w:rsidRPr="00320F79" w:rsidRDefault="002812ED" w:rsidP="002812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2812ED" w:rsidRPr="00320F79" w:rsidRDefault="002812ED" w:rsidP="002812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2812ED" w:rsidRPr="00E843DA" w:rsidRDefault="002812ED" w:rsidP="002812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LSHK</w:t>
            </w:r>
            <w:r>
              <w:rPr>
                <w:rFonts w:ascii="Arial" w:hAnsi="Arial" w:cs="Arial"/>
                <w:b/>
                <w:color w:val="6C6361"/>
                <w:sz w:val="20"/>
                <w:szCs w:val="20"/>
              </w:rPr>
              <w:t xml:space="preserve"> 3.0 CPD Points</w:t>
            </w:r>
          </w:p>
        </w:tc>
      </w:tr>
      <w:tr w:rsidR="00680C81" w:rsidRPr="00320F79" w:rsidTr="00961D9A">
        <w:trPr>
          <w:trHeight w:val="1247"/>
          <w:jc w:val="center"/>
        </w:trPr>
        <w:tc>
          <w:tcPr>
            <w:tcW w:w="1701" w:type="dxa"/>
            <w:tcBorders>
              <w:top w:val="single" w:sz="12" w:space="0" w:color="FFFFFF"/>
              <w:left w:val="nil"/>
              <w:bottom w:val="nil"/>
            </w:tcBorders>
            <w:shd w:val="clear" w:color="auto" w:fill="F0EBE1"/>
            <w:vAlign w:val="center"/>
          </w:tcPr>
          <w:p w:rsidR="00680C81" w:rsidRPr="00320F79"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680C81" w:rsidRPr="00320F79" w:rsidRDefault="00680C81" w:rsidP="00961D9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680C81" w:rsidRPr="00320F79"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680C81" w:rsidRPr="00320F79"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680C81" w:rsidRPr="00320F79"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680C81" w:rsidRDefault="00680C81" w:rsidP="00961D9A">
            <w:pPr>
              <w:jc w:val="right"/>
              <w:rPr>
                <w:rFonts w:ascii="Arial" w:hAnsi="Arial" w:cs="Arial"/>
                <w:b/>
                <w:color w:val="6C6361"/>
                <w:sz w:val="20"/>
                <w:szCs w:val="20"/>
              </w:rPr>
            </w:pPr>
          </w:p>
          <w:p w:rsidR="00680C81" w:rsidRDefault="00680C81" w:rsidP="00961D9A">
            <w:pPr>
              <w:jc w:val="right"/>
              <w:rPr>
                <w:rFonts w:ascii="Arial" w:hAnsi="Arial" w:cs="Arial"/>
                <w:b/>
                <w:color w:val="6C6361"/>
                <w:sz w:val="20"/>
                <w:szCs w:val="20"/>
              </w:rPr>
            </w:pPr>
          </w:p>
          <w:p w:rsidR="00680C81" w:rsidRPr="00320F79" w:rsidRDefault="00680C81" w:rsidP="00961D9A">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224BF391" wp14:editId="56CBBC45">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680C81" w:rsidRPr="00E2201B" w:rsidRDefault="00680C81" w:rsidP="00961D9A">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680C81" w:rsidRPr="003A2A41"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680C81" w:rsidRPr="003A2A41"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70" w:type="dxa"/>
            <w:tcBorders>
              <w:top w:val="single" w:sz="12" w:space="0" w:color="F0EBE1"/>
              <w:bottom w:val="nil"/>
              <w:right w:val="nil"/>
            </w:tcBorders>
            <w:shd w:val="clear" w:color="auto" w:fill="FFFFFF"/>
            <w:vAlign w:val="center"/>
          </w:tcPr>
          <w:p w:rsidR="00680C81" w:rsidRPr="003A2A41"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680C81" w:rsidRPr="003A2A41"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15" w:type="dxa"/>
            <w:tcBorders>
              <w:top w:val="single" w:sz="12" w:space="0" w:color="F0EBE1"/>
              <w:left w:val="nil"/>
              <w:bottom w:val="nil"/>
              <w:right w:val="nil"/>
            </w:tcBorders>
            <w:shd w:val="clear" w:color="auto" w:fill="FFFFFF"/>
            <w:vAlign w:val="center"/>
          </w:tcPr>
          <w:p w:rsidR="00680C81" w:rsidRPr="00156567"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1027E8D" wp14:editId="37BDDF1C">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680C81" w:rsidRDefault="00214BC6" w:rsidP="00680C81">
      <w:pPr>
        <w:rPr>
          <w:sz w:val="2"/>
          <w:szCs w:val="2"/>
        </w:rPr>
      </w:pPr>
    </w:p>
    <w:sectPr w:rsidR="00214BC6"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210" w:rsidRDefault="00157210" w:rsidP="00546556">
      <w:r>
        <w:separator/>
      </w:r>
    </w:p>
  </w:endnote>
  <w:endnote w:type="continuationSeparator" w:id="0">
    <w:p w:rsidR="00157210" w:rsidRDefault="00157210"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210" w:rsidRDefault="00157210" w:rsidP="00546556">
      <w:r>
        <w:separator/>
      </w:r>
    </w:p>
  </w:footnote>
  <w:footnote w:type="continuationSeparator" w:id="0">
    <w:p w:rsidR="00157210" w:rsidRDefault="00157210"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1"/>
  <w:displayBackgroundShape/>
  <w:gutterAtTop/>
  <w:proofState w:spelling="clean" w:grammar="clean"/>
  <w:documentProtection w:edit="forms" w:enforcement="1" w:cryptProviderType="rsaAES" w:cryptAlgorithmClass="hash" w:cryptAlgorithmType="typeAny" w:cryptAlgorithmSid="14" w:cryptSpinCount="100000" w:hash="VU2BSZLISTx++wkoFn0UJ4PjEatPP9ES7h4M0Maicy10uRGzoAoamB6uVc8nb3XPEYRoH81ZU/6vU5tgjMtZ0A==" w:salt="wRQzGNnyUDjXohvXGygOY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210"/>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12ED"/>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785"/>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38/"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EBF97-2161-4715-8B63-22E446B5B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464</Words>
  <Characters>2651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CPD Course: Trustees and Fiduciaries: Liability for and Defences to Claims for Breach of Trust and Breach of Fiduciary Duty</vt:lpstr>
    </vt:vector>
  </TitlesOfParts>
  <Manager>Tyrone Tsang</Manager>
  <Company>The Profectional Company Limited</Company>
  <LinksUpToDate>false</LinksUpToDate>
  <CharactersWithSpaces>3109</CharactersWithSpaces>
  <SharedDoc>false</SharedDoc>
  <HyperlinkBase>http://download.profectional.com/events/EVT000000238.docx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Uncertainty in Express Trusts: Problems with Intention, Subject Matter and Objects for Express Private Trusts</dc:title>
  <dc:subject>CPD Course: Uncertainty in Express Trusts: Problems with Intention, Subject Matter and Objects for Express Private Trusts</dc:subject>
  <dc:creator>The Profectional Company Limited</dc:creator>
  <cp:keywords>Profectional; Kornerstone; CPD; CPT; CLE; CE; RME; Steven Gallagher; Associate Professor of Practice in Law; Associate Dean (Teaching &amp; Learning);The Faculty of Law; The Chinese University of Hong Kong</cp:keywords>
  <cp:lastModifiedBy>Tyrone Tsang</cp:lastModifiedBy>
  <cp:revision>35</cp:revision>
  <cp:lastPrinted>2018-07-11T14:57:00Z</cp:lastPrinted>
  <dcterms:created xsi:type="dcterms:W3CDTF">2017-01-12T02:41:00Z</dcterms:created>
  <dcterms:modified xsi:type="dcterms:W3CDTF">2018-08-16T01:13:00Z</dcterms:modified>
</cp:coreProperties>
</file>