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794" w:rsidRPr="00B57794" w:rsidRDefault="00B57794" w:rsidP="00B5779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57794" w:rsidRPr="00523A64" w:rsidTr="009540AB">
        <w:trPr>
          <w:trHeight w:val="3119"/>
          <w:jc w:val="center"/>
        </w:trPr>
        <w:tc>
          <w:tcPr>
            <w:tcW w:w="4797" w:type="dxa"/>
            <w:shd w:val="clear" w:color="auto" w:fill="FFFFFF"/>
            <w:vAlign w:val="center"/>
          </w:tcPr>
          <w:p w:rsidR="00B57794" w:rsidRPr="001A3018" w:rsidRDefault="00B57794" w:rsidP="009540AB">
            <w:pPr>
              <w:jc w:val="center"/>
              <w:rPr>
                <w:rFonts w:ascii="Arial" w:hAnsi="Arial" w:cs="Arial"/>
                <w:b/>
                <w:bCs/>
                <w:color w:val="524B48"/>
                <w:sz w:val="4"/>
                <w:szCs w:val="4"/>
              </w:rPr>
            </w:pPr>
          </w:p>
          <w:p w:rsidR="00B57794" w:rsidRPr="00AD33FA" w:rsidRDefault="00B57794" w:rsidP="009540AB">
            <w:pPr>
              <w:jc w:val="center"/>
              <w:rPr>
                <w:rStyle w:val="Hyperlink"/>
                <w:rFonts w:ascii="Arial" w:hAnsi="Arial" w:cs="Arial"/>
                <w:b/>
                <w:bCs/>
                <w:color w:val="524B48"/>
                <w:sz w:val="32"/>
                <w:szCs w:val="32"/>
                <w:u w:val="none"/>
              </w:rPr>
            </w:pPr>
            <w:r w:rsidRPr="00CF685C">
              <w:fldChar w:fldCharType="begin"/>
            </w:r>
            <w:r>
              <w:instrText>HYPERLINK "http://cpd.hk/evt000000239/"</w:instrText>
            </w:r>
            <w:r w:rsidRPr="00CF685C">
              <w:fldChar w:fldCharType="separate"/>
            </w:r>
            <w:r w:rsidRPr="00AD33FA">
              <w:rPr>
                <w:rStyle w:val="Hyperlink"/>
                <w:rFonts w:ascii="Arial" w:hAnsi="Arial" w:cs="Arial"/>
                <w:b/>
                <w:bCs/>
                <w:color w:val="524B48"/>
                <w:sz w:val="32"/>
                <w:szCs w:val="32"/>
                <w:u w:val="none"/>
              </w:rPr>
              <w:t>The Rights of</w:t>
            </w:r>
          </w:p>
          <w:p w:rsidR="00B57794" w:rsidRPr="00AD33FA" w:rsidRDefault="00B57794" w:rsidP="009540AB">
            <w:pPr>
              <w:jc w:val="center"/>
              <w:rPr>
                <w:rStyle w:val="Hyperlink"/>
                <w:rFonts w:ascii="Arial" w:hAnsi="Arial" w:cs="Arial"/>
                <w:b/>
                <w:bCs/>
                <w:color w:val="524B48"/>
                <w:sz w:val="32"/>
                <w:szCs w:val="32"/>
                <w:u w:val="none"/>
              </w:rPr>
            </w:pPr>
            <w:r w:rsidRPr="00AD33FA">
              <w:rPr>
                <w:rStyle w:val="Hyperlink"/>
                <w:rFonts w:ascii="Arial" w:hAnsi="Arial" w:cs="Arial"/>
                <w:b/>
                <w:bCs/>
                <w:color w:val="524B48"/>
                <w:sz w:val="32"/>
                <w:szCs w:val="32"/>
                <w:u w:val="none"/>
              </w:rPr>
              <w:t>Beneficiaries</w:t>
            </w:r>
          </w:p>
          <w:p w:rsidR="00B57794" w:rsidRPr="00AD33FA" w:rsidRDefault="00B57794" w:rsidP="009540AB">
            <w:pPr>
              <w:jc w:val="center"/>
              <w:rPr>
                <w:rStyle w:val="Hyperlink"/>
                <w:rFonts w:ascii="Arial" w:hAnsi="Arial" w:cs="Arial"/>
                <w:b/>
                <w:bCs/>
                <w:color w:val="524B48"/>
                <w:sz w:val="32"/>
                <w:szCs w:val="32"/>
                <w:u w:val="none"/>
              </w:rPr>
            </w:pPr>
            <w:r w:rsidRPr="00AD33FA">
              <w:rPr>
                <w:rStyle w:val="Hyperlink"/>
                <w:rFonts w:ascii="Arial" w:hAnsi="Arial" w:cs="Arial"/>
                <w:b/>
                <w:bCs/>
                <w:color w:val="524B48"/>
                <w:sz w:val="32"/>
                <w:szCs w:val="32"/>
                <w:u w:val="none"/>
              </w:rPr>
              <w:t>Under a Trust</w:t>
            </w:r>
          </w:p>
          <w:p w:rsidR="00B57794" w:rsidRPr="00AD33FA" w:rsidRDefault="00B57794" w:rsidP="009540AB">
            <w:pPr>
              <w:jc w:val="center"/>
              <w:rPr>
                <w:rStyle w:val="Hyperlink"/>
                <w:rFonts w:ascii="Arial" w:hAnsi="Arial" w:cs="Arial"/>
                <w:b/>
                <w:bCs/>
                <w:color w:val="524B48"/>
                <w:sz w:val="32"/>
                <w:szCs w:val="32"/>
                <w:u w:val="none"/>
              </w:rPr>
            </w:pPr>
            <w:r w:rsidRPr="00AD33FA">
              <w:rPr>
                <w:rStyle w:val="Hyperlink"/>
                <w:rFonts w:ascii="Arial" w:hAnsi="Arial" w:cs="Arial"/>
                <w:b/>
                <w:bCs/>
                <w:color w:val="524B48"/>
                <w:sz w:val="32"/>
                <w:szCs w:val="32"/>
                <w:u w:val="none"/>
              </w:rPr>
              <w:t>and the Variation of</w:t>
            </w:r>
          </w:p>
          <w:p w:rsidR="00B57794" w:rsidRDefault="00B57794" w:rsidP="009540AB">
            <w:pPr>
              <w:jc w:val="center"/>
              <w:rPr>
                <w:rStyle w:val="Hyperlink"/>
                <w:rFonts w:ascii="Arial" w:hAnsi="Arial" w:cs="Arial"/>
                <w:b/>
                <w:bCs/>
                <w:color w:val="524B48"/>
                <w:sz w:val="32"/>
                <w:szCs w:val="32"/>
                <w:u w:val="none"/>
              </w:rPr>
            </w:pPr>
            <w:r w:rsidRPr="00AD33FA">
              <w:rPr>
                <w:rStyle w:val="Hyperlink"/>
                <w:rFonts w:ascii="Arial" w:hAnsi="Arial" w:cs="Arial"/>
                <w:b/>
                <w:bCs/>
                <w:color w:val="524B48"/>
                <w:sz w:val="32"/>
                <w:szCs w:val="32"/>
                <w:u w:val="none"/>
              </w:rPr>
              <w:t>Terms of a Trust</w:t>
            </w:r>
          </w:p>
          <w:p w:rsidR="00B57794" w:rsidRPr="00C65AFD" w:rsidRDefault="00B57794" w:rsidP="009540AB">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B57794" w:rsidRPr="00C65AFD" w:rsidRDefault="00B57794" w:rsidP="009540AB">
            <w:pPr>
              <w:jc w:val="center"/>
              <w:rPr>
                <w:rFonts w:ascii="Arial" w:hAnsi="Arial" w:cs="Arial"/>
                <w:i/>
                <w:color w:val="6C6361"/>
                <w:sz w:val="24"/>
                <w:szCs w:val="24"/>
              </w:rPr>
            </w:pPr>
            <w:r w:rsidRPr="00C65AFD">
              <w:rPr>
                <w:rFonts w:ascii="Arial" w:hAnsi="Arial" w:cs="Arial"/>
                <w:i/>
                <w:color w:val="6C6361"/>
                <w:sz w:val="24"/>
                <w:szCs w:val="24"/>
              </w:rPr>
              <w:t>by</w:t>
            </w:r>
          </w:p>
          <w:p w:rsidR="00B57794" w:rsidRDefault="00B57794" w:rsidP="009540AB">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B57794" w:rsidRDefault="00B57794" w:rsidP="009540AB">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B57794" w:rsidRDefault="00B57794" w:rsidP="009540AB">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B57794" w:rsidRDefault="00B57794" w:rsidP="009540AB">
            <w:pPr>
              <w:jc w:val="center"/>
              <w:rPr>
                <w:rFonts w:ascii="Arial" w:hAnsi="Arial" w:cs="Arial"/>
                <w:color w:val="6C6361"/>
                <w:sz w:val="24"/>
                <w:szCs w:val="24"/>
              </w:rPr>
            </w:pPr>
            <w:r>
              <w:rPr>
                <w:rFonts w:ascii="Arial" w:hAnsi="Arial" w:cs="Arial"/>
                <w:color w:val="6C6361"/>
                <w:sz w:val="24"/>
                <w:szCs w:val="24"/>
              </w:rPr>
              <w:t>The Faculty of Law,</w:t>
            </w:r>
          </w:p>
          <w:p w:rsidR="00B57794" w:rsidRPr="007E02E6" w:rsidRDefault="00B57794" w:rsidP="009540AB">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B57794" w:rsidRPr="00D87ECF" w:rsidRDefault="00B57794" w:rsidP="009540AB">
            <w:pPr>
              <w:jc w:val="center"/>
              <w:rPr>
                <w:rFonts w:ascii="Arial" w:hAnsi="Arial" w:cs="Arial"/>
                <w:color w:val="6C6361"/>
                <w:sz w:val="8"/>
                <w:szCs w:val="8"/>
              </w:rPr>
            </w:pPr>
          </w:p>
        </w:tc>
        <w:tc>
          <w:tcPr>
            <w:tcW w:w="5976" w:type="dxa"/>
            <w:shd w:val="clear" w:color="auto" w:fill="FFFFFF"/>
            <w:vAlign w:val="center"/>
          </w:tcPr>
          <w:p w:rsidR="00B57794" w:rsidRPr="00D50772" w:rsidRDefault="00B57794" w:rsidP="009540AB">
            <w:pPr>
              <w:spacing w:line="276" w:lineRule="auto"/>
              <w:rPr>
                <w:rFonts w:ascii="Arial" w:eastAsia="Times New Roman" w:hAnsi="Arial" w:cs="Arial"/>
                <w:noProof/>
                <w:sz w:val="20"/>
                <w:szCs w:val="20"/>
              </w:rPr>
            </w:pPr>
            <w:r w:rsidRPr="00AD33FA">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05E8868" wp14:editId="45A3A259">
                  <wp:simplePos x="0" y="0"/>
                  <wp:positionH relativeFrom="column">
                    <wp:posOffset>3176270</wp:posOffset>
                  </wp:positionH>
                  <wp:positionV relativeFrom="paragraph">
                    <wp:posOffset>-301625</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197FC63" wp14:editId="2EBA31D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57794" w:rsidRPr="0061186A" w:rsidRDefault="00B57794" w:rsidP="00B57794">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B57794" w:rsidRPr="000F3FFC" w:rsidTr="009540AB">
        <w:trPr>
          <w:trHeight w:val="2515"/>
          <w:jc w:val="center"/>
        </w:trPr>
        <w:tc>
          <w:tcPr>
            <w:tcW w:w="1985" w:type="dxa"/>
            <w:shd w:val="clear" w:color="auto" w:fill="FFFFFF"/>
            <w:vAlign w:val="center"/>
          </w:tcPr>
          <w:p w:rsidR="00B57794" w:rsidRPr="000F3FFC" w:rsidRDefault="00B57794" w:rsidP="009540AB">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816D0B5" wp14:editId="5E519428">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B57794" w:rsidRPr="001900E2" w:rsidRDefault="00B57794" w:rsidP="00B57794">
            <w:pPr>
              <w:pStyle w:val="NormalWeb"/>
              <w:contextualSpacing/>
              <w:jc w:val="both"/>
              <w:rPr>
                <w:rFonts w:ascii="Arial" w:hAnsi="Arial" w:cs="Arial"/>
                <w:color w:val="6C6361"/>
                <w:sz w:val="21"/>
                <w:szCs w:val="21"/>
              </w:rPr>
            </w:pPr>
            <w:r w:rsidRPr="001900E2">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1900E2">
              <w:rPr>
                <w:rFonts w:ascii="Arial" w:hAnsi="Arial" w:cs="Arial"/>
                <w:color w:val="6C6361"/>
                <w:sz w:val="21"/>
                <w:szCs w:val="21"/>
              </w:rPr>
              <w:t>programme</w:t>
            </w:r>
            <w:proofErr w:type="spellEnd"/>
            <w:r w:rsidRPr="001900E2">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B57794" w:rsidRDefault="00B57794" w:rsidP="00B57794">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4678"/>
        <w:gridCol w:w="4253"/>
        <w:gridCol w:w="1842"/>
      </w:tblGrid>
      <w:tr w:rsidR="00B57794" w:rsidRPr="00AD33FA" w:rsidTr="009540AB">
        <w:trPr>
          <w:trHeight w:val="2395"/>
          <w:jc w:val="center"/>
        </w:trPr>
        <w:tc>
          <w:tcPr>
            <w:tcW w:w="10773" w:type="dxa"/>
            <w:gridSpan w:val="3"/>
            <w:tcBorders>
              <w:top w:val="nil"/>
              <w:bottom w:val="nil"/>
            </w:tcBorders>
            <w:shd w:val="clear" w:color="auto" w:fill="FFFFFF" w:themeFill="background1"/>
            <w:vAlign w:val="center"/>
          </w:tcPr>
          <w:p w:rsidR="00B57794" w:rsidRPr="00AD33FA" w:rsidRDefault="00B57794" w:rsidP="009540AB">
            <w:pPr>
              <w:spacing w:line="276" w:lineRule="auto"/>
              <w:rPr>
                <w:rFonts w:ascii="Arial" w:hAnsi="Arial" w:cs="Arial"/>
                <w:color w:val="6C6361"/>
                <w:sz w:val="20"/>
                <w:szCs w:val="20"/>
              </w:rPr>
            </w:pPr>
            <w:r w:rsidRPr="00AD33FA">
              <w:rPr>
                <w:rFonts w:ascii="Arial" w:hAnsi="Arial" w:cs="Arial"/>
                <w:noProof/>
                <w:color w:val="6C6361"/>
                <w:sz w:val="20"/>
                <w:szCs w:val="20"/>
              </w:rPr>
              <w:drawing>
                <wp:anchor distT="0" distB="0" distL="114300" distR="114300" simplePos="0" relativeHeight="251660288" behindDoc="0" locked="0" layoutInCell="1" allowOverlap="1" wp14:anchorId="7AADABA7" wp14:editId="739F1FCC">
                  <wp:simplePos x="0" y="0"/>
                  <wp:positionH relativeFrom="column">
                    <wp:posOffset>5743575</wp:posOffset>
                  </wp:positionH>
                  <wp:positionV relativeFrom="paragraph">
                    <wp:posOffset>1485265</wp:posOffset>
                  </wp:positionV>
                  <wp:extent cx="892175" cy="101854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3FA">
              <w:rPr>
                <w:rFonts w:ascii="Arial" w:hAnsi="Arial" w:cs="Arial"/>
                <w:color w:val="6C6361"/>
                <w:sz w:val="20"/>
                <w:szCs w:val="20"/>
              </w:rPr>
              <w:t>This 3-hour seminar will provide an introduction to the rules concerning variations of trust terms.  Unless the settlor has retained a power to vary the trust terms for himself or given such power to others, the general principle is that the terms of a trust must be followed and cannot be varied.  The courts have generally been reluctant to interfere with the terms of a trust as long as its purpose is not illegal or against public policy.  There have been doubts that the courts actually have power to interfere with the terms of a trust.  However, the development of special trusts in tax haven jurisdictions which expressly permit the settlor to retain powers of variation or give such powers to others has led to judicial consideration of the nature of variation and the limits of the powers of variation that may be retained or given to others.  The seminar will consider the traditional approach to variation of trusts and more recent developments and issues in Hong Kong and the United Kingdom</w:t>
            </w:r>
            <w:r>
              <w:rPr>
                <w:rFonts w:ascii="Arial" w:hAnsi="Arial" w:cs="Arial"/>
                <w:color w:val="6C6361"/>
                <w:sz w:val="20"/>
                <w:szCs w:val="20"/>
              </w:rPr>
              <w:t>.</w:t>
            </w:r>
          </w:p>
        </w:tc>
      </w:tr>
      <w:tr w:rsidR="00B57794" w:rsidRPr="00AD33FA" w:rsidTr="009540AB">
        <w:trPr>
          <w:trHeight w:val="340"/>
          <w:jc w:val="center"/>
        </w:trPr>
        <w:tc>
          <w:tcPr>
            <w:tcW w:w="8931" w:type="dxa"/>
            <w:gridSpan w:val="2"/>
            <w:tcBorders>
              <w:top w:val="nil"/>
              <w:bottom w:val="nil"/>
              <w:right w:val="nil"/>
            </w:tcBorders>
            <w:shd w:val="clear" w:color="auto" w:fill="F0EBE1"/>
            <w:vAlign w:val="center"/>
          </w:tcPr>
          <w:p w:rsidR="00B57794" w:rsidRPr="00AD33FA" w:rsidRDefault="00B57794" w:rsidP="009540AB">
            <w:pPr>
              <w:spacing w:line="276" w:lineRule="auto"/>
              <w:jc w:val="left"/>
              <w:rPr>
                <w:rFonts w:ascii="Arial" w:hAnsi="Arial" w:cs="Arial"/>
                <w:b/>
                <w:color w:val="524B48"/>
                <w:sz w:val="20"/>
                <w:szCs w:val="20"/>
              </w:rPr>
            </w:pPr>
            <w:r w:rsidRPr="00AD33FA">
              <w:rPr>
                <w:rFonts w:ascii="Arial" w:hAnsi="Arial" w:cs="Arial"/>
                <w:b/>
                <w:color w:val="524B48"/>
                <w:sz w:val="20"/>
                <w:szCs w:val="20"/>
              </w:rPr>
              <w:t>Some of the topics considered in this seminar will be:</w:t>
            </w:r>
          </w:p>
        </w:tc>
        <w:tc>
          <w:tcPr>
            <w:tcW w:w="1842" w:type="dxa"/>
            <w:vMerge w:val="restart"/>
            <w:tcBorders>
              <w:top w:val="nil"/>
              <w:left w:val="nil"/>
              <w:bottom w:val="nil"/>
            </w:tcBorders>
            <w:shd w:val="clear" w:color="auto" w:fill="FFFFFF" w:themeFill="background1"/>
          </w:tcPr>
          <w:p w:rsidR="00B57794" w:rsidRPr="00AD33FA" w:rsidRDefault="00B57794" w:rsidP="009540AB">
            <w:pPr>
              <w:spacing w:line="276" w:lineRule="auto"/>
              <w:jc w:val="center"/>
              <w:rPr>
                <w:rFonts w:ascii="Arial" w:hAnsi="Arial" w:cs="Arial"/>
                <w:b/>
                <w:color w:val="524B48"/>
                <w:sz w:val="20"/>
                <w:szCs w:val="20"/>
              </w:rPr>
            </w:pPr>
          </w:p>
        </w:tc>
      </w:tr>
      <w:tr w:rsidR="00B57794" w:rsidRPr="00AD33FA" w:rsidTr="009540AB">
        <w:trPr>
          <w:trHeight w:val="1418"/>
          <w:jc w:val="center"/>
        </w:trPr>
        <w:tc>
          <w:tcPr>
            <w:tcW w:w="4678" w:type="dxa"/>
            <w:tcBorders>
              <w:top w:val="nil"/>
              <w:bottom w:val="nil"/>
              <w:right w:val="nil"/>
            </w:tcBorders>
            <w:shd w:val="clear" w:color="auto" w:fill="FFFFFF" w:themeFill="background1"/>
            <w:vAlign w:val="center"/>
          </w:tcPr>
          <w:p w:rsidR="00B57794" w:rsidRPr="00AD33FA" w:rsidRDefault="00B57794" w:rsidP="009540AB">
            <w:pPr>
              <w:pStyle w:val="ListParagraph"/>
              <w:numPr>
                <w:ilvl w:val="0"/>
                <w:numId w:val="2"/>
              </w:numPr>
              <w:spacing w:line="276" w:lineRule="auto"/>
              <w:jc w:val="left"/>
              <w:rPr>
                <w:rFonts w:ascii="Arial" w:hAnsi="Arial" w:cs="Arial"/>
                <w:color w:val="6C6361"/>
                <w:sz w:val="20"/>
                <w:szCs w:val="20"/>
              </w:rPr>
            </w:pPr>
            <w:r w:rsidRPr="00AD33FA">
              <w:rPr>
                <w:rFonts w:ascii="Arial" w:hAnsi="Arial" w:cs="Arial"/>
                <w:color w:val="6C6361"/>
                <w:sz w:val="20"/>
                <w:szCs w:val="20"/>
              </w:rPr>
              <w:t>The obligation to follow the terms of the trust;</w:t>
            </w:r>
          </w:p>
          <w:p w:rsidR="00B57794" w:rsidRPr="00AD33FA" w:rsidRDefault="00B57794" w:rsidP="009540AB">
            <w:pPr>
              <w:pStyle w:val="ListParagraph"/>
              <w:numPr>
                <w:ilvl w:val="0"/>
                <w:numId w:val="2"/>
              </w:numPr>
              <w:spacing w:line="276" w:lineRule="auto"/>
              <w:jc w:val="left"/>
              <w:rPr>
                <w:rFonts w:ascii="Arial" w:hAnsi="Arial" w:cs="Arial"/>
                <w:color w:val="6C6361"/>
                <w:sz w:val="20"/>
                <w:szCs w:val="20"/>
              </w:rPr>
            </w:pPr>
            <w:r w:rsidRPr="00AD33FA">
              <w:rPr>
                <w:rFonts w:ascii="Arial" w:hAnsi="Arial" w:cs="Arial"/>
                <w:color w:val="6C6361"/>
                <w:sz w:val="20"/>
                <w:szCs w:val="20"/>
              </w:rPr>
              <w:t>Beneficiaries’ interests in the trust;</w:t>
            </w:r>
          </w:p>
          <w:p w:rsidR="00B57794" w:rsidRPr="00AD33FA" w:rsidRDefault="00B57794" w:rsidP="009540AB">
            <w:pPr>
              <w:pStyle w:val="ListParagraph"/>
              <w:numPr>
                <w:ilvl w:val="0"/>
                <w:numId w:val="2"/>
              </w:numPr>
              <w:spacing w:line="276" w:lineRule="auto"/>
              <w:jc w:val="left"/>
              <w:rPr>
                <w:rFonts w:ascii="Arial" w:hAnsi="Arial" w:cs="Arial"/>
                <w:color w:val="6C6361"/>
                <w:sz w:val="20"/>
                <w:szCs w:val="20"/>
              </w:rPr>
            </w:pPr>
            <w:r w:rsidRPr="00AD33FA">
              <w:rPr>
                <w:rFonts w:ascii="Arial" w:hAnsi="Arial" w:cs="Arial"/>
                <w:color w:val="6C6361"/>
                <w:sz w:val="20"/>
                <w:szCs w:val="20"/>
              </w:rPr>
              <w:t xml:space="preserve">The rule in </w:t>
            </w:r>
            <w:r w:rsidRPr="00AD33FA">
              <w:rPr>
                <w:rFonts w:ascii="Arial" w:hAnsi="Arial" w:cs="Arial"/>
                <w:i/>
                <w:color w:val="6C6361"/>
                <w:sz w:val="20"/>
                <w:szCs w:val="20"/>
              </w:rPr>
              <w:t xml:space="preserve">Saunders v </w:t>
            </w:r>
            <w:proofErr w:type="spellStart"/>
            <w:r w:rsidRPr="00AD33FA">
              <w:rPr>
                <w:rFonts w:ascii="Arial" w:hAnsi="Arial" w:cs="Arial"/>
                <w:i/>
                <w:color w:val="6C6361"/>
                <w:sz w:val="20"/>
                <w:szCs w:val="20"/>
              </w:rPr>
              <w:t>Vautier</w:t>
            </w:r>
            <w:proofErr w:type="spellEnd"/>
            <w:r w:rsidRPr="00AD33FA">
              <w:rPr>
                <w:rFonts w:ascii="Arial" w:hAnsi="Arial" w:cs="Arial"/>
                <w:color w:val="6C6361"/>
                <w:sz w:val="20"/>
                <w:szCs w:val="20"/>
              </w:rPr>
              <w:t>;</w:t>
            </w:r>
          </w:p>
          <w:p w:rsidR="00B57794" w:rsidRPr="00AD33FA" w:rsidRDefault="00B57794" w:rsidP="009540AB">
            <w:pPr>
              <w:pStyle w:val="ListParagraph"/>
              <w:numPr>
                <w:ilvl w:val="0"/>
                <w:numId w:val="2"/>
              </w:numPr>
              <w:spacing w:line="276" w:lineRule="auto"/>
              <w:jc w:val="left"/>
              <w:rPr>
                <w:rFonts w:ascii="Arial" w:hAnsi="Arial" w:cs="Arial"/>
                <w:color w:val="6C6361"/>
                <w:sz w:val="20"/>
                <w:szCs w:val="20"/>
              </w:rPr>
            </w:pPr>
            <w:r w:rsidRPr="00AD33FA">
              <w:rPr>
                <w:rFonts w:ascii="Arial" w:hAnsi="Arial" w:cs="Arial"/>
                <w:color w:val="6C6361"/>
                <w:sz w:val="20"/>
                <w:szCs w:val="20"/>
              </w:rPr>
              <w:t>The Court’s inherent jurisdiction to vary the terms of a trust;</w:t>
            </w:r>
          </w:p>
        </w:tc>
        <w:tc>
          <w:tcPr>
            <w:tcW w:w="4253" w:type="dxa"/>
            <w:tcBorders>
              <w:top w:val="nil"/>
              <w:left w:val="nil"/>
              <w:bottom w:val="nil"/>
              <w:right w:val="nil"/>
            </w:tcBorders>
            <w:shd w:val="clear" w:color="auto" w:fill="FFFFFF" w:themeFill="background1"/>
            <w:vAlign w:val="center"/>
          </w:tcPr>
          <w:p w:rsidR="00B57794" w:rsidRPr="00AD33FA" w:rsidRDefault="00B57794" w:rsidP="009540AB">
            <w:pPr>
              <w:pStyle w:val="ListParagraph"/>
              <w:numPr>
                <w:ilvl w:val="0"/>
                <w:numId w:val="2"/>
              </w:numPr>
              <w:spacing w:line="276" w:lineRule="auto"/>
              <w:jc w:val="left"/>
              <w:rPr>
                <w:rFonts w:ascii="Arial" w:hAnsi="Arial" w:cs="Arial"/>
                <w:color w:val="6C6361"/>
                <w:sz w:val="20"/>
                <w:szCs w:val="20"/>
              </w:rPr>
            </w:pPr>
            <w:r w:rsidRPr="00AD33FA">
              <w:rPr>
                <w:rFonts w:ascii="Arial" w:hAnsi="Arial" w:cs="Arial"/>
                <w:color w:val="6C6361"/>
                <w:sz w:val="20"/>
                <w:szCs w:val="20"/>
              </w:rPr>
              <w:t>The statutory powers of variation;</w:t>
            </w:r>
          </w:p>
          <w:p w:rsidR="00B57794" w:rsidRPr="00AD33FA" w:rsidRDefault="00B57794" w:rsidP="009540AB">
            <w:pPr>
              <w:pStyle w:val="ListParagraph"/>
              <w:numPr>
                <w:ilvl w:val="0"/>
                <w:numId w:val="2"/>
              </w:numPr>
              <w:spacing w:line="276" w:lineRule="auto"/>
              <w:jc w:val="left"/>
              <w:rPr>
                <w:rFonts w:ascii="Arial" w:hAnsi="Arial" w:cs="Arial"/>
                <w:color w:val="6C6361"/>
                <w:sz w:val="20"/>
                <w:szCs w:val="20"/>
              </w:rPr>
            </w:pPr>
            <w:r w:rsidRPr="00AD33FA">
              <w:rPr>
                <w:rFonts w:ascii="Arial" w:hAnsi="Arial" w:cs="Arial"/>
                <w:color w:val="6C6361"/>
                <w:sz w:val="20"/>
                <w:szCs w:val="20"/>
              </w:rPr>
              <w:t>The settlors retention of powers of variation and the donation of such powers to others;</w:t>
            </w:r>
          </w:p>
          <w:p w:rsidR="00B57794" w:rsidRPr="00AD33FA" w:rsidRDefault="00B57794" w:rsidP="009540AB">
            <w:pPr>
              <w:pStyle w:val="ListParagraph"/>
              <w:numPr>
                <w:ilvl w:val="0"/>
                <w:numId w:val="2"/>
              </w:numPr>
              <w:spacing w:line="276" w:lineRule="auto"/>
              <w:ind w:right="-108"/>
              <w:jc w:val="left"/>
              <w:rPr>
                <w:rFonts w:ascii="Arial" w:hAnsi="Arial" w:cs="Arial"/>
                <w:color w:val="6C6361"/>
                <w:sz w:val="20"/>
                <w:szCs w:val="20"/>
              </w:rPr>
            </w:pPr>
            <w:r w:rsidRPr="00AD33FA">
              <w:rPr>
                <w:rFonts w:ascii="Arial" w:hAnsi="Arial" w:cs="Arial"/>
                <w:color w:val="6C6361"/>
                <w:sz w:val="20"/>
                <w:szCs w:val="20"/>
              </w:rPr>
              <w:t>What is a variation of the terms of a trust?</w:t>
            </w:r>
          </w:p>
        </w:tc>
        <w:tc>
          <w:tcPr>
            <w:tcW w:w="1842" w:type="dxa"/>
            <w:vMerge/>
            <w:tcBorders>
              <w:left w:val="nil"/>
              <w:bottom w:val="nil"/>
            </w:tcBorders>
            <w:shd w:val="clear" w:color="auto" w:fill="FFFFFF" w:themeFill="background1"/>
            <w:vAlign w:val="center"/>
          </w:tcPr>
          <w:p w:rsidR="00B57794" w:rsidRPr="00AD33FA" w:rsidRDefault="00B57794" w:rsidP="009540AB">
            <w:pPr>
              <w:spacing w:line="276" w:lineRule="auto"/>
              <w:jc w:val="left"/>
              <w:rPr>
                <w:rFonts w:ascii="Arial" w:hAnsi="Arial" w:cs="Arial"/>
                <w:color w:val="6C6361"/>
                <w:sz w:val="20"/>
                <w:szCs w:val="20"/>
              </w:rPr>
            </w:pPr>
          </w:p>
        </w:tc>
      </w:tr>
    </w:tbl>
    <w:p w:rsidR="00680C81" w:rsidRPr="009166D9" w:rsidRDefault="00680C81" w:rsidP="00680C81">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B57794" w:rsidRPr="00320F79" w:rsidTr="00961D9A">
        <w:trPr>
          <w:trHeight w:val="340"/>
          <w:jc w:val="center"/>
        </w:trPr>
        <w:tc>
          <w:tcPr>
            <w:tcW w:w="1701" w:type="dxa"/>
            <w:tcBorders>
              <w:top w:val="nil"/>
              <w:left w:val="nil"/>
              <w:bottom w:val="single" w:sz="12" w:space="0" w:color="FFFFFF"/>
            </w:tcBorders>
            <w:shd w:val="clear" w:color="auto" w:fill="F0EBE1"/>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EVT000000239</w:t>
            </w:r>
          </w:p>
        </w:tc>
        <w:tc>
          <w:tcPr>
            <w:tcW w:w="1701" w:type="dxa"/>
            <w:tcBorders>
              <w:top w:val="nil"/>
              <w:bottom w:val="single" w:sz="12" w:space="0" w:color="FFFFFF"/>
            </w:tcBorders>
            <w:shd w:val="clear" w:color="auto" w:fill="F0EBE1"/>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57794"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AD33FA">
              <w:rPr>
                <w:rFonts w:ascii="Arial" w:hAnsi="Arial" w:cs="Arial"/>
                <w:b/>
                <w:color w:val="6C6361"/>
                <w:sz w:val="20"/>
                <w:szCs w:val="20"/>
              </w:rPr>
              <w:t>6 July 2018 (Friday)</w:t>
            </w:r>
          </w:p>
        </w:tc>
        <w:tc>
          <w:tcPr>
            <w:tcW w:w="1701" w:type="dxa"/>
            <w:tcBorders>
              <w:top w:val="single" w:sz="12" w:space="0" w:color="FFFFFF"/>
              <w:bottom w:val="single" w:sz="12" w:space="0" w:color="FFFFFF"/>
            </w:tcBorders>
            <w:shd w:val="clear" w:color="auto" w:fill="F0EBE1"/>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B57794"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57794" w:rsidRPr="00320F79"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57794" w:rsidRPr="00E843DA" w:rsidRDefault="00B57794" w:rsidP="00B5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680C81" w:rsidRPr="00320F79" w:rsidTr="00961D9A">
        <w:trPr>
          <w:trHeight w:val="1247"/>
          <w:jc w:val="center"/>
        </w:trPr>
        <w:tc>
          <w:tcPr>
            <w:tcW w:w="1701" w:type="dxa"/>
            <w:tcBorders>
              <w:top w:val="single" w:sz="12" w:space="0" w:color="FFFFFF"/>
              <w:left w:val="nil"/>
              <w:bottom w:val="nil"/>
            </w:tcBorders>
            <w:shd w:val="clear" w:color="auto" w:fill="F0EBE1"/>
            <w:vAlign w:val="center"/>
          </w:tcPr>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80C81" w:rsidRPr="00320F79" w:rsidRDefault="00680C81" w:rsidP="00961D9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80C81" w:rsidRDefault="00680C81" w:rsidP="00961D9A">
            <w:pPr>
              <w:jc w:val="right"/>
              <w:rPr>
                <w:rFonts w:ascii="Arial" w:hAnsi="Arial" w:cs="Arial"/>
                <w:b/>
                <w:color w:val="6C6361"/>
                <w:sz w:val="20"/>
                <w:szCs w:val="20"/>
              </w:rPr>
            </w:pPr>
          </w:p>
          <w:p w:rsidR="00680C81" w:rsidRDefault="00680C81" w:rsidP="00961D9A">
            <w:pPr>
              <w:jc w:val="right"/>
              <w:rPr>
                <w:rFonts w:ascii="Arial" w:hAnsi="Arial" w:cs="Arial"/>
                <w:b/>
                <w:color w:val="6C6361"/>
                <w:sz w:val="20"/>
                <w:szCs w:val="20"/>
              </w:rPr>
            </w:pPr>
          </w:p>
          <w:p w:rsidR="00680C81" w:rsidRPr="00320F79" w:rsidRDefault="00680C81" w:rsidP="00961D9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24BF391" wp14:editId="56CBBC4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80C81" w:rsidRPr="00E2201B" w:rsidRDefault="00680C81" w:rsidP="00961D9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680C81" w:rsidRPr="00156567"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1027E8D" wp14:editId="37BDDF1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71D" w:rsidRDefault="0086671D" w:rsidP="00546556">
      <w:r>
        <w:separator/>
      </w:r>
    </w:p>
  </w:endnote>
  <w:endnote w:type="continuationSeparator" w:id="0">
    <w:p w:rsidR="0086671D" w:rsidRDefault="0086671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71D" w:rsidRDefault="0086671D" w:rsidP="00546556">
      <w:r>
        <w:separator/>
      </w:r>
    </w:p>
  </w:footnote>
  <w:footnote w:type="continuationSeparator" w:id="0">
    <w:p w:rsidR="0086671D" w:rsidRDefault="0086671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sKTuxbEb54Jte+R0Au5hJV7oIGgwPUZVU4njjD+S5fG5idApS71RCt1rmncoCc6Qbuu3OGCHYH1Z69cOU53qzw==" w:salt="AgdGwA4UqDBxKo9HNEGlg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0DCD"/>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671D"/>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794"/>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3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CC24E-B656-4ABB-AE09-0ADCD1B61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CPD Course: "The Glorious Uncertainty of the Law": Developing an "Equitable Toolkit” from "First Principles" for a "Plain Man’s Guide to the Law of Co-Ownership" of Personal Property, Money in Bank Accounts and Real Property - When is a Gift a Trust?</vt:lpstr>
    </vt:vector>
  </TitlesOfParts>
  <Manager>Tyrone Tsang</Manager>
  <Company>The Profectional Company Limited</Company>
  <LinksUpToDate>false</LinksUpToDate>
  <CharactersWithSpaces>3022</CharactersWithSpaces>
  <SharedDoc>false</SharedDoc>
  <HyperlinkBase>http://download.profectional.com/events/EVT000000239.docx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Rights of Beneficiaries Under a Trust and the Variation of Terms of a Trust</dc:title>
  <dc:subject>CPD Course: The Rights of Beneficiaries Under a Trust and the Variation of Terms of a Trust</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29</cp:revision>
  <cp:lastPrinted>2018-07-05T15:16:00Z</cp:lastPrinted>
  <dcterms:created xsi:type="dcterms:W3CDTF">2017-01-12T02:41:00Z</dcterms:created>
  <dcterms:modified xsi:type="dcterms:W3CDTF">2018-07-05T15:16:00Z</dcterms:modified>
</cp:coreProperties>
</file>