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125D" w:rsidRPr="00C0125D" w:rsidRDefault="00C0125D" w:rsidP="00C0125D">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C0125D" w:rsidRPr="00523A64" w:rsidTr="00654A47">
        <w:trPr>
          <w:trHeight w:val="3119"/>
          <w:jc w:val="center"/>
        </w:trPr>
        <w:tc>
          <w:tcPr>
            <w:tcW w:w="4797" w:type="dxa"/>
            <w:shd w:val="clear" w:color="auto" w:fill="FFFFFF"/>
            <w:vAlign w:val="center"/>
          </w:tcPr>
          <w:p w:rsidR="00C0125D" w:rsidRPr="001A3018" w:rsidRDefault="00C0125D" w:rsidP="00654A47">
            <w:pPr>
              <w:jc w:val="center"/>
              <w:rPr>
                <w:rFonts w:ascii="Arial" w:hAnsi="Arial" w:cs="Arial"/>
                <w:b/>
                <w:bCs/>
                <w:color w:val="524B48"/>
                <w:sz w:val="4"/>
                <w:szCs w:val="4"/>
              </w:rPr>
            </w:pPr>
          </w:p>
          <w:p w:rsidR="00C0125D" w:rsidRDefault="00C0125D" w:rsidP="00654A47">
            <w:pPr>
              <w:jc w:val="center"/>
              <w:rPr>
                <w:rStyle w:val="Hyperlink"/>
                <w:rFonts w:ascii="Arial" w:hAnsi="Arial" w:cs="Arial"/>
                <w:b/>
                <w:bCs/>
                <w:color w:val="524B48"/>
                <w:sz w:val="32"/>
                <w:szCs w:val="32"/>
                <w:u w:val="none"/>
              </w:rPr>
            </w:pPr>
            <w:r w:rsidRPr="00CF685C">
              <w:fldChar w:fldCharType="begin"/>
            </w:r>
            <w:r>
              <w:instrText>HYPERLINK "http://cpd.hk/evt000000241/"</w:instrText>
            </w:r>
            <w:r w:rsidRPr="00CF685C">
              <w:fldChar w:fldCharType="separate"/>
            </w:r>
            <w:r>
              <w:rPr>
                <w:rStyle w:val="Hyperlink"/>
                <w:rFonts w:ascii="Arial" w:hAnsi="Arial" w:cs="Arial"/>
                <w:b/>
                <w:bCs/>
                <w:color w:val="524B48"/>
                <w:sz w:val="32"/>
                <w:szCs w:val="32"/>
                <w:u w:val="none"/>
              </w:rPr>
              <w:t>Equity and the</w:t>
            </w:r>
          </w:p>
          <w:p w:rsidR="00C0125D" w:rsidRDefault="00C0125D" w:rsidP="00654A47">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Perfection of Gifts</w:t>
            </w:r>
          </w:p>
          <w:p w:rsidR="00C0125D" w:rsidRDefault="00C0125D" w:rsidP="00654A47">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 xml:space="preserve">and Constitution </w:t>
            </w:r>
            <w:r w:rsidRPr="00150602">
              <w:rPr>
                <w:rStyle w:val="Hyperlink"/>
                <w:rFonts w:ascii="Arial" w:hAnsi="Arial" w:cs="Arial"/>
                <w:b/>
                <w:bCs/>
                <w:color w:val="524B48"/>
                <w:sz w:val="32"/>
                <w:szCs w:val="32"/>
                <w:u w:val="none"/>
              </w:rPr>
              <w:t>of Trusts</w:t>
            </w:r>
          </w:p>
          <w:p w:rsidR="00C0125D" w:rsidRPr="00C65AFD" w:rsidRDefault="00C0125D" w:rsidP="00654A47">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rsidR="00C0125D" w:rsidRPr="00C65AFD" w:rsidRDefault="00C0125D" w:rsidP="00654A47">
            <w:pPr>
              <w:jc w:val="center"/>
              <w:rPr>
                <w:rFonts w:ascii="Arial" w:hAnsi="Arial" w:cs="Arial"/>
                <w:i/>
                <w:color w:val="6C6361"/>
                <w:sz w:val="24"/>
                <w:szCs w:val="24"/>
              </w:rPr>
            </w:pPr>
            <w:r w:rsidRPr="00C65AFD">
              <w:rPr>
                <w:rFonts w:ascii="Arial" w:hAnsi="Arial" w:cs="Arial"/>
                <w:i/>
                <w:color w:val="6C6361"/>
                <w:sz w:val="24"/>
                <w:szCs w:val="24"/>
              </w:rPr>
              <w:t>by</w:t>
            </w:r>
          </w:p>
          <w:p w:rsidR="00C0125D" w:rsidRDefault="00C0125D" w:rsidP="00654A47">
            <w:pPr>
              <w:jc w:val="center"/>
              <w:rPr>
                <w:rStyle w:val="Hyperlink"/>
                <w:rFonts w:ascii="Arial" w:hAnsi="Arial" w:cs="Arial"/>
                <w:color w:val="6C6361"/>
                <w:sz w:val="24"/>
                <w:szCs w:val="24"/>
                <w:u w:val="none"/>
              </w:rPr>
            </w:pPr>
            <w:hyperlink r:id="rId8" w:history="1">
              <w:r>
                <w:rPr>
                  <w:rStyle w:val="Hyperlink"/>
                  <w:rFonts w:ascii="Arial" w:hAnsi="Arial" w:cs="Arial"/>
                  <w:color w:val="6C6361"/>
                  <w:sz w:val="24"/>
                  <w:szCs w:val="24"/>
                  <w:u w:val="none"/>
                </w:rPr>
                <w:t>Prof. Steven Gallagher</w:t>
              </w:r>
            </w:hyperlink>
            <w:r>
              <w:rPr>
                <w:rStyle w:val="Hyperlink"/>
                <w:rFonts w:ascii="Arial" w:hAnsi="Arial" w:cs="Arial"/>
                <w:color w:val="6C6361"/>
                <w:sz w:val="24"/>
                <w:szCs w:val="24"/>
                <w:u w:val="none"/>
              </w:rPr>
              <w:t>,</w:t>
            </w:r>
          </w:p>
          <w:p w:rsidR="00C0125D" w:rsidRDefault="00C0125D" w:rsidP="00654A47">
            <w:pPr>
              <w:jc w:val="center"/>
              <w:rPr>
                <w:rFonts w:ascii="Arial" w:hAnsi="Arial" w:cs="Arial"/>
                <w:color w:val="6C6361"/>
                <w:sz w:val="24"/>
                <w:szCs w:val="24"/>
              </w:rPr>
            </w:pPr>
            <w:r w:rsidRPr="00BB7007">
              <w:rPr>
                <w:rFonts w:ascii="Arial" w:hAnsi="Arial" w:cs="Arial"/>
                <w:color w:val="6C6361"/>
                <w:sz w:val="24"/>
                <w:szCs w:val="24"/>
              </w:rPr>
              <w:t>Associat</w:t>
            </w:r>
            <w:r>
              <w:rPr>
                <w:rFonts w:ascii="Arial" w:hAnsi="Arial" w:cs="Arial"/>
                <w:color w:val="6C6361"/>
                <w:sz w:val="24"/>
                <w:szCs w:val="24"/>
              </w:rPr>
              <w:t>e Professor of Practice in Law,</w:t>
            </w:r>
          </w:p>
          <w:p w:rsidR="00C0125D" w:rsidRDefault="00C0125D" w:rsidP="00654A47">
            <w:pPr>
              <w:jc w:val="center"/>
              <w:rPr>
                <w:rFonts w:ascii="Arial" w:hAnsi="Arial" w:cs="Arial"/>
                <w:color w:val="6C6361"/>
                <w:sz w:val="24"/>
                <w:szCs w:val="24"/>
              </w:rPr>
            </w:pPr>
            <w:r w:rsidRPr="00BB7007">
              <w:rPr>
                <w:rFonts w:ascii="Arial" w:hAnsi="Arial" w:cs="Arial"/>
                <w:color w:val="6C6361"/>
                <w:sz w:val="24"/>
                <w:szCs w:val="24"/>
              </w:rPr>
              <w:t>Associ</w:t>
            </w:r>
            <w:r>
              <w:rPr>
                <w:rFonts w:ascii="Arial" w:hAnsi="Arial" w:cs="Arial"/>
                <w:color w:val="6C6361"/>
                <w:sz w:val="24"/>
                <w:szCs w:val="24"/>
              </w:rPr>
              <w:t>ate Dean (Teaching &amp; Learning),</w:t>
            </w:r>
          </w:p>
          <w:p w:rsidR="00C0125D" w:rsidRDefault="00C0125D" w:rsidP="00654A47">
            <w:pPr>
              <w:jc w:val="center"/>
              <w:rPr>
                <w:rFonts w:ascii="Arial" w:hAnsi="Arial" w:cs="Arial"/>
                <w:color w:val="6C6361"/>
                <w:sz w:val="24"/>
                <w:szCs w:val="24"/>
              </w:rPr>
            </w:pPr>
            <w:r>
              <w:rPr>
                <w:rFonts w:ascii="Arial" w:hAnsi="Arial" w:cs="Arial"/>
                <w:color w:val="6C6361"/>
                <w:sz w:val="24"/>
                <w:szCs w:val="24"/>
              </w:rPr>
              <w:t>The Faculty of Law,</w:t>
            </w:r>
          </w:p>
          <w:p w:rsidR="00C0125D" w:rsidRPr="007E02E6" w:rsidRDefault="00C0125D" w:rsidP="00654A47">
            <w:pPr>
              <w:jc w:val="center"/>
              <w:rPr>
                <w:rFonts w:ascii="Arial" w:hAnsi="Arial" w:cs="Arial"/>
                <w:color w:val="6C6361"/>
                <w:sz w:val="24"/>
                <w:szCs w:val="24"/>
              </w:rPr>
            </w:pPr>
            <w:r w:rsidRPr="00BB7007">
              <w:rPr>
                <w:rFonts w:ascii="Arial" w:hAnsi="Arial" w:cs="Arial"/>
                <w:color w:val="6C6361"/>
                <w:sz w:val="24"/>
                <w:szCs w:val="24"/>
              </w:rPr>
              <w:t>The Chinese University of Hong Kong</w:t>
            </w:r>
          </w:p>
          <w:p w:rsidR="00C0125D" w:rsidRPr="00D87ECF" w:rsidRDefault="00C0125D" w:rsidP="00654A47">
            <w:pPr>
              <w:jc w:val="center"/>
              <w:rPr>
                <w:rFonts w:ascii="Arial" w:hAnsi="Arial" w:cs="Arial"/>
                <w:color w:val="6C6361"/>
                <w:sz w:val="8"/>
                <w:szCs w:val="8"/>
              </w:rPr>
            </w:pPr>
          </w:p>
        </w:tc>
        <w:tc>
          <w:tcPr>
            <w:tcW w:w="5976" w:type="dxa"/>
            <w:shd w:val="clear" w:color="auto" w:fill="FFFFFF"/>
            <w:vAlign w:val="center"/>
          </w:tcPr>
          <w:p w:rsidR="00C0125D" w:rsidRPr="00D50772" w:rsidRDefault="00C0125D" w:rsidP="00654A47">
            <w:pPr>
              <w:spacing w:line="276" w:lineRule="auto"/>
              <w:rPr>
                <w:rFonts w:ascii="Arial" w:eastAsia="Times New Roman" w:hAnsi="Arial" w:cs="Arial"/>
                <w:noProof/>
                <w:sz w:val="20"/>
                <w:szCs w:val="20"/>
              </w:rPr>
            </w:pPr>
            <w:r w:rsidRPr="00572368">
              <w:rPr>
                <w:rFonts w:ascii="Arial" w:eastAsia="Times New Roman" w:hAnsi="Arial" w:cs="Arial"/>
                <w:noProof/>
                <w:sz w:val="20"/>
                <w:szCs w:val="20"/>
              </w:rPr>
              <w:drawing>
                <wp:anchor distT="0" distB="0" distL="114300" distR="114300" simplePos="0" relativeHeight="251660288" behindDoc="0" locked="0" layoutInCell="1" allowOverlap="1" wp14:anchorId="301703A1" wp14:editId="7DF31286">
                  <wp:simplePos x="0" y="0"/>
                  <wp:positionH relativeFrom="column">
                    <wp:posOffset>3176270</wp:posOffset>
                  </wp:positionH>
                  <wp:positionV relativeFrom="paragraph">
                    <wp:posOffset>-74295</wp:posOffset>
                  </wp:positionV>
                  <wp:extent cx="539750" cy="546735"/>
                  <wp:effectExtent l="0" t="0" r="0" b="5715"/>
                  <wp:wrapNone/>
                  <wp:docPr id="9" name="Picture 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711A931E" wp14:editId="238ACA3B">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C0125D" w:rsidRPr="00C0125D" w:rsidRDefault="00C0125D" w:rsidP="00C0125D">
      <w:pPr>
        <w:spacing w:line="276" w:lineRule="auto"/>
        <w:jc w:val="left"/>
        <w:rPr>
          <w:rFonts w:ascii="Arial" w:hAnsi="Arial" w:cs="Arial"/>
          <w:sz w:val="20"/>
          <w:szCs w:val="18"/>
        </w:rPr>
      </w:pPr>
    </w:p>
    <w:tbl>
      <w:tblPr>
        <w:tblW w:w="10773" w:type="dxa"/>
        <w:jc w:val="center"/>
        <w:tblLook w:val="04A0" w:firstRow="1" w:lastRow="0" w:firstColumn="1" w:lastColumn="0" w:noHBand="0" w:noVBand="1"/>
      </w:tblPr>
      <w:tblGrid>
        <w:gridCol w:w="1985"/>
        <w:gridCol w:w="8788"/>
      </w:tblGrid>
      <w:tr w:rsidR="00C0125D" w:rsidRPr="000F3FFC" w:rsidTr="00654A47">
        <w:trPr>
          <w:trHeight w:val="2515"/>
          <w:jc w:val="center"/>
        </w:trPr>
        <w:tc>
          <w:tcPr>
            <w:tcW w:w="1985" w:type="dxa"/>
            <w:shd w:val="clear" w:color="auto" w:fill="FFFFFF"/>
            <w:vAlign w:val="center"/>
          </w:tcPr>
          <w:p w:rsidR="00C0125D" w:rsidRPr="000F3FFC" w:rsidRDefault="00C0125D" w:rsidP="00654A47">
            <w:pPr>
              <w:spacing w:line="276" w:lineRule="auto"/>
              <w:jc w:val="center"/>
              <w:rPr>
                <w:rFonts w:ascii="Arial" w:hAnsi="Arial" w:cs="Arial"/>
                <w:sz w:val="20"/>
                <w:szCs w:val="20"/>
              </w:rPr>
            </w:pPr>
            <w:r w:rsidRPr="000F3FFC">
              <w:rPr>
                <w:rFonts w:ascii="Arial" w:hAnsi="Arial" w:cs="Arial"/>
                <w:noProof/>
                <w:sz w:val="20"/>
                <w:szCs w:val="20"/>
              </w:rPr>
              <w:drawing>
                <wp:inline distT="0" distB="0" distL="0" distR="0" wp14:anchorId="1E7CF54E" wp14:editId="3ADB69D5">
                  <wp:extent cx="1080135" cy="1440180"/>
                  <wp:effectExtent l="0" t="0" r="5715" b="7620"/>
                  <wp:docPr id="8"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C0125D" w:rsidRPr="001900E2" w:rsidRDefault="00C0125D" w:rsidP="00C0125D">
            <w:pPr>
              <w:pStyle w:val="NormalWeb"/>
              <w:contextualSpacing/>
              <w:jc w:val="both"/>
              <w:rPr>
                <w:rFonts w:ascii="Arial" w:hAnsi="Arial" w:cs="Arial"/>
                <w:color w:val="6C6361"/>
                <w:sz w:val="21"/>
                <w:szCs w:val="21"/>
              </w:rPr>
            </w:pPr>
            <w:r w:rsidRPr="001900E2">
              <w:rPr>
                <w:rFonts w:ascii="Arial" w:hAnsi="Arial" w:cs="Arial"/>
                <w:color w:val="6C6361"/>
                <w:sz w:val="21"/>
                <w:szCs w:val="21"/>
              </w:rPr>
              <w:t xml:space="preserve">Steven Gallagher was awarded a first class LL.B. He was called to the Bar of England and Wales in 2006. Steven has taught Equity and Trusts, Land Law and Company Law to undergraduates and International Corporate Liquidation and International Corporate Governance to postgraduates in England and Hong Kong. Steven teaches the Equity and Trusts courses for undergraduate students, the Principles of Equity and Trusts course on the Juris Doctor course and, in 2013, introduced the Principles of Cultural Heritage Law course to the LLM </w:t>
            </w:r>
            <w:proofErr w:type="spellStart"/>
            <w:r w:rsidRPr="001900E2">
              <w:rPr>
                <w:rFonts w:ascii="Arial" w:hAnsi="Arial" w:cs="Arial"/>
                <w:color w:val="6C6361"/>
                <w:sz w:val="21"/>
                <w:szCs w:val="21"/>
              </w:rPr>
              <w:t>programme</w:t>
            </w:r>
            <w:proofErr w:type="spellEnd"/>
            <w:r w:rsidRPr="001900E2">
              <w:rPr>
                <w:rFonts w:ascii="Arial" w:hAnsi="Arial" w:cs="Arial"/>
                <w:color w:val="6C6361"/>
                <w:sz w:val="21"/>
                <w:szCs w:val="21"/>
              </w:rPr>
              <w:t xml:space="preserve"> at the Chinese University of Hong Kong. Steven has presented continuing professional development courses for solicitors in Hong Kong on many topics associated with equity. Steven’s research interests include equity and the law of trusts, cultural heritage law and legal history.</w:t>
            </w:r>
          </w:p>
        </w:tc>
      </w:tr>
    </w:tbl>
    <w:p w:rsidR="00C0125D" w:rsidRPr="00C0125D" w:rsidRDefault="00C0125D" w:rsidP="00C0125D">
      <w:pPr>
        <w:spacing w:line="276" w:lineRule="auto"/>
        <w:jc w:val="left"/>
        <w:rPr>
          <w:rFonts w:ascii="Arial" w:hAnsi="Arial" w:cs="Arial"/>
          <w:sz w:val="20"/>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10773"/>
      </w:tblGrid>
      <w:tr w:rsidR="00C0125D" w:rsidRPr="00264570" w:rsidTr="00654A47">
        <w:trPr>
          <w:trHeight w:val="2413"/>
          <w:jc w:val="center"/>
        </w:trPr>
        <w:tc>
          <w:tcPr>
            <w:tcW w:w="10773" w:type="dxa"/>
            <w:tcBorders>
              <w:top w:val="nil"/>
              <w:bottom w:val="nil"/>
            </w:tcBorders>
            <w:shd w:val="clear" w:color="auto" w:fill="FFFFFF" w:themeFill="background1"/>
            <w:vAlign w:val="center"/>
          </w:tcPr>
          <w:p w:rsidR="00C0125D" w:rsidRPr="00264570" w:rsidRDefault="00C0125D" w:rsidP="00654A47">
            <w:pPr>
              <w:spacing w:line="276" w:lineRule="auto"/>
              <w:rPr>
                <w:rFonts w:ascii="Arial" w:hAnsi="Arial" w:cs="Arial"/>
                <w:color w:val="6C6361"/>
                <w:sz w:val="20"/>
                <w:szCs w:val="20"/>
              </w:rPr>
            </w:pPr>
            <w:r w:rsidRPr="00264570">
              <w:rPr>
                <w:rFonts w:ascii="Arial" w:hAnsi="Arial" w:cs="Arial"/>
                <w:color w:val="6C6361"/>
                <w:sz w:val="20"/>
                <w:szCs w:val="20"/>
              </w:rPr>
              <w:t xml:space="preserve">It is a maxim of equity that equity will not assist a volunteer.  As </w:t>
            </w:r>
            <w:proofErr w:type="spellStart"/>
            <w:r w:rsidRPr="00264570">
              <w:rPr>
                <w:rFonts w:ascii="Arial" w:hAnsi="Arial" w:cs="Arial"/>
                <w:color w:val="6C6361"/>
                <w:sz w:val="20"/>
                <w:szCs w:val="20"/>
              </w:rPr>
              <w:t>donees</w:t>
            </w:r>
            <w:proofErr w:type="spellEnd"/>
            <w:r w:rsidRPr="00264570">
              <w:rPr>
                <w:rFonts w:ascii="Arial" w:hAnsi="Arial" w:cs="Arial"/>
                <w:color w:val="6C6361"/>
                <w:sz w:val="20"/>
                <w:szCs w:val="20"/>
              </w:rPr>
              <w:t xml:space="preserve"> and (usually) beneficiaries give no consideration for their gifts or beneficial interests, equity will not </w:t>
            </w:r>
            <w:proofErr w:type="spellStart"/>
            <w:r w:rsidRPr="00264570">
              <w:rPr>
                <w:rFonts w:ascii="Arial" w:hAnsi="Arial" w:cs="Arial"/>
                <w:color w:val="6C6361"/>
                <w:sz w:val="20"/>
                <w:szCs w:val="20"/>
              </w:rPr>
              <w:t>recognise</w:t>
            </w:r>
            <w:proofErr w:type="spellEnd"/>
            <w:r w:rsidRPr="00264570">
              <w:rPr>
                <w:rFonts w:ascii="Arial" w:hAnsi="Arial" w:cs="Arial"/>
                <w:color w:val="6C6361"/>
                <w:sz w:val="20"/>
                <w:szCs w:val="20"/>
              </w:rPr>
              <w:t xml:space="preserve"> a gift or enforce a trust if the donor or settlor has not transferred the subject matter to the </w:t>
            </w:r>
            <w:proofErr w:type="spellStart"/>
            <w:r w:rsidRPr="00264570">
              <w:rPr>
                <w:rFonts w:ascii="Arial" w:hAnsi="Arial" w:cs="Arial"/>
                <w:color w:val="6C6361"/>
                <w:sz w:val="20"/>
                <w:szCs w:val="20"/>
              </w:rPr>
              <w:t>donee</w:t>
            </w:r>
            <w:proofErr w:type="spellEnd"/>
            <w:r w:rsidRPr="00264570">
              <w:rPr>
                <w:rFonts w:ascii="Arial" w:hAnsi="Arial" w:cs="Arial"/>
                <w:color w:val="6C6361"/>
                <w:sz w:val="20"/>
                <w:szCs w:val="20"/>
              </w:rPr>
              <w:t xml:space="preserve"> or trustee in the manner required according to the nature of the subject matter.  This seminar will consider the restrictions equity places on the perfection of gifts and constitution of trusts and the need for certainty.  The seminar will consider the exceptions to these restrictions that have developed in Hong Kong and England such as the rule in </w:t>
            </w:r>
            <w:r w:rsidRPr="00264570">
              <w:rPr>
                <w:rFonts w:ascii="Arial" w:hAnsi="Arial" w:cs="Arial"/>
                <w:i/>
                <w:color w:val="6C6361"/>
                <w:sz w:val="20"/>
                <w:szCs w:val="20"/>
              </w:rPr>
              <w:t>Strong v Bird</w:t>
            </w:r>
            <w:r w:rsidRPr="00264570">
              <w:rPr>
                <w:rFonts w:ascii="Arial" w:hAnsi="Arial" w:cs="Arial"/>
                <w:color w:val="6C6361"/>
                <w:sz w:val="20"/>
                <w:szCs w:val="20"/>
              </w:rPr>
              <w:t>, coincidental receipt of property and recent cases considering the “</w:t>
            </w:r>
            <w:proofErr w:type="spellStart"/>
            <w:r w:rsidRPr="00264570">
              <w:rPr>
                <w:rFonts w:ascii="Arial" w:hAnsi="Arial" w:cs="Arial"/>
                <w:color w:val="6C6361"/>
                <w:sz w:val="20"/>
                <w:szCs w:val="20"/>
              </w:rPr>
              <w:t>unconscionability</w:t>
            </w:r>
            <w:proofErr w:type="spellEnd"/>
            <w:r w:rsidRPr="00264570">
              <w:rPr>
                <w:rFonts w:ascii="Arial" w:hAnsi="Arial" w:cs="Arial"/>
                <w:color w:val="6C6361"/>
                <w:sz w:val="20"/>
                <w:szCs w:val="20"/>
              </w:rPr>
              <w:t xml:space="preserve"> test” in </w:t>
            </w:r>
            <w:r w:rsidRPr="00264570">
              <w:rPr>
                <w:rFonts w:ascii="Arial" w:hAnsi="Arial" w:cs="Arial"/>
                <w:i/>
                <w:color w:val="6C6361"/>
                <w:sz w:val="20"/>
                <w:szCs w:val="20"/>
              </w:rPr>
              <w:t xml:space="preserve">Pennington v </w:t>
            </w:r>
            <w:proofErr w:type="spellStart"/>
            <w:r w:rsidRPr="00264570">
              <w:rPr>
                <w:rFonts w:ascii="Arial" w:hAnsi="Arial" w:cs="Arial"/>
                <w:i/>
                <w:color w:val="6C6361"/>
                <w:sz w:val="20"/>
                <w:szCs w:val="20"/>
              </w:rPr>
              <w:t>Waine</w:t>
            </w:r>
            <w:proofErr w:type="spellEnd"/>
            <w:r w:rsidRPr="00264570">
              <w:rPr>
                <w:rFonts w:ascii="Arial" w:hAnsi="Arial" w:cs="Arial"/>
                <w:color w:val="6C6361"/>
                <w:sz w:val="20"/>
                <w:szCs w:val="20"/>
              </w:rPr>
              <w:t xml:space="preserve"> [2002] EWCA </w:t>
            </w:r>
            <w:proofErr w:type="spellStart"/>
            <w:r w:rsidRPr="00264570">
              <w:rPr>
                <w:rFonts w:ascii="Arial" w:hAnsi="Arial" w:cs="Arial"/>
                <w:color w:val="6C6361"/>
                <w:sz w:val="20"/>
                <w:szCs w:val="20"/>
              </w:rPr>
              <w:t>Civ</w:t>
            </w:r>
            <w:proofErr w:type="spellEnd"/>
            <w:r w:rsidRPr="00264570">
              <w:rPr>
                <w:rFonts w:ascii="Arial" w:hAnsi="Arial" w:cs="Arial"/>
                <w:color w:val="6C6361"/>
                <w:sz w:val="20"/>
                <w:szCs w:val="20"/>
              </w:rPr>
              <w:t xml:space="preserve"> 227.  Recent Hong Kong cases involving the application of the doctrine of </w:t>
            </w:r>
            <w:proofErr w:type="spellStart"/>
            <w:r w:rsidRPr="00264570">
              <w:rPr>
                <w:rFonts w:ascii="Arial" w:hAnsi="Arial" w:cs="Arial"/>
                <w:i/>
                <w:color w:val="6C6361"/>
                <w:sz w:val="20"/>
                <w:szCs w:val="20"/>
              </w:rPr>
              <w:t>donationes</w:t>
            </w:r>
            <w:proofErr w:type="spellEnd"/>
            <w:r w:rsidRPr="00264570">
              <w:rPr>
                <w:rFonts w:ascii="Arial" w:hAnsi="Arial" w:cs="Arial"/>
                <w:i/>
                <w:color w:val="6C6361"/>
                <w:sz w:val="20"/>
                <w:szCs w:val="20"/>
              </w:rPr>
              <w:t xml:space="preserve"> mortis </w:t>
            </w:r>
            <w:proofErr w:type="spellStart"/>
            <w:r w:rsidRPr="00264570">
              <w:rPr>
                <w:rFonts w:ascii="Arial" w:hAnsi="Arial" w:cs="Arial"/>
                <w:i/>
                <w:color w:val="6C6361"/>
                <w:sz w:val="20"/>
                <w:szCs w:val="20"/>
              </w:rPr>
              <w:t>causa</w:t>
            </w:r>
            <w:proofErr w:type="spellEnd"/>
            <w:r w:rsidRPr="00264570">
              <w:rPr>
                <w:rFonts w:ascii="Arial" w:hAnsi="Arial" w:cs="Arial"/>
                <w:color w:val="6C6361"/>
                <w:sz w:val="20"/>
                <w:szCs w:val="20"/>
              </w:rPr>
              <w:t xml:space="preserve"> and the passing of land as a gift made in the contemplation of death will be considered.</w:t>
            </w:r>
            <w:r w:rsidRPr="00264570">
              <w:rPr>
                <w:rFonts w:ascii="Arial" w:hAnsi="Arial" w:cs="Arial"/>
                <w:noProof/>
                <w:color w:val="6C6361"/>
                <w:sz w:val="20"/>
                <w:szCs w:val="20"/>
              </w:rPr>
              <w:t xml:space="preserve"> </w:t>
            </w:r>
          </w:p>
        </w:tc>
      </w:tr>
      <w:tr w:rsidR="00C0125D" w:rsidRPr="00264570" w:rsidTr="00654A47">
        <w:trPr>
          <w:trHeight w:val="340"/>
          <w:jc w:val="center"/>
        </w:trPr>
        <w:tc>
          <w:tcPr>
            <w:tcW w:w="10773" w:type="dxa"/>
            <w:tcBorders>
              <w:top w:val="nil"/>
              <w:bottom w:val="nil"/>
            </w:tcBorders>
            <w:shd w:val="clear" w:color="auto" w:fill="F0EBE1"/>
            <w:vAlign w:val="center"/>
          </w:tcPr>
          <w:p w:rsidR="00C0125D" w:rsidRPr="00264570" w:rsidRDefault="00C0125D" w:rsidP="00654A47">
            <w:pPr>
              <w:spacing w:line="276" w:lineRule="auto"/>
              <w:jc w:val="left"/>
              <w:rPr>
                <w:rFonts w:ascii="Arial" w:hAnsi="Arial" w:cs="Arial"/>
                <w:b/>
                <w:color w:val="524B48"/>
                <w:sz w:val="20"/>
                <w:szCs w:val="20"/>
              </w:rPr>
            </w:pPr>
            <w:r w:rsidRPr="00264570">
              <w:rPr>
                <w:rFonts w:ascii="Arial" w:hAnsi="Arial" w:cs="Arial"/>
                <w:b/>
                <w:color w:val="524B48"/>
                <w:sz w:val="20"/>
                <w:szCs w:val="20"/>
              </w:rPr>
              <w:t>Course objectives:</w:t>
            </w:r>
          </w:p>
        </w:tc>
      </w:tr>
      <w:tr w:rsidR="00C0125D" w:rsidRPr="00264570" w:rsidTr="00654A47">
        <w:trPr>
          <w:trHeight w:val="2267"/>
          <w:jc w:val="center"/>
        </w:trPr>
        <w:tc>
          <w:tcPr>
            <w:tcW w:w="10773" w:type="dxa"/>
            <w:tcBorders>
              <w:top w:val="nil"/>
              <w:bottom w:val="nil"/>
            </w:tcBorders>
            <w:shd w:val="clear" w:color="auto" w:fill="FFFFFF" w:themeFill="background1"/>
            <w:vAlign w:val="center"/>
          </w:tcPr>
          <w:p w:rsidR="00C0125D" w:rsidRPr="00264570" w:rsidRDefault="00C0125D" w:rsidP="00654A47">
            <w:pPr>
              <w:pStyle w:val="ListParagraph"/>
              <w:numPr>
                <w:ilvl w:val="0"/>
                <w:numId w:val="2"/>
              </w:numPr>
              <w:spacing w:line="276" w:lineRule="auto"/>
              <w:ind w:right="34"/>
              <w:jc w:val="left"/>
              <w:rPr>
                <w:rFonts w:ascii="Arial" w:hAnsi="Arial" w:cs="Arial"/>
                <w:color w:val="6C6361"/>
                <w:sz w:val="20"/>
                <w:szCs w:val="20"/>
              </w:rPr>
            </w:pPr>
            <w:r w:rsidRPr="00264570">
              <w:rPr>
                <w:rFonts w:ascii="Arial" w:hAnsi="Arial" w:cs="Arial"/>
                <w:color w:val="6C6361"/>
                <w:sz w:val="20"/>
                <w:szCs w:val="20"/>
              </w:rPr>
              <w:t>To consider the restrictions equity places upon the perfection of gifts and the constitution of trusts;</w:t>
            </w:r>
          </w:p>
          <w:p w:rsidR="00C0125D" w:rsidRPr="00264570" w:rsidRDefault="00C0125D" w:rsidP="00654A47">
            <w:pPr>
              <w:pStyle w:val="ListParagraph"/>
              <w:numPr>
                <w:ilvl w:val="0"/>
                <w:numId w:val="2"/>
              </w:numPr>
              <w:spacing w:line="276" w:lineRule="auto"/>
              <w:jc w:val="left"/>
              <w:rPr>
                <w:rFonts w:ascii="Arial" w:hAnsi="Arial" w:cs="Arial"/>
                <w:color w:val="6C6361"/>
                <w:sz w:val="20"/>
                <w:szCs w:val="20"/>
              </w:rPr>
            </w:pPr>
            <w:r w:rsidRPr="00264570">
              <w:rPr>
                <w:rFonts w:ascii="Arial" w:hAnsi="Arial" w:cs="Arial"/>
                <w:noProof/>
                <w:color w:val="6C6361"/>
                <w:sz w:val="20"/>
                <w:szCs w:val="20"/>
              </w:rPr>
              <w:drawing>
                <wp:anchor distT="0" distB="0" distL="114300" distR="114300" simplePos="0" relativeHeight="251659264" behindDoc="1" locked="0" layoutInCell="1" allowOverlap="1" wp14:anchorId="0E77E893" wp14:editId="2921FADD">
                  <wp:simplePos x="0" y="0"/>
                  <wp:positionH relativeFrom="column">
                    <wp:posOffset>5743575</wp:posOffset>
                  </wp:positionH>
                  <wp:positionV relativeFrom="paragraph">
                    <wp:posOffset>65405</wp:posOffset>
                  </wp:positionV>
                  <wp:extent cx="892175" cy="1018540"/>
                  <wp:effectExtent l="0" t="0" r="3175" b="0"/>
                  <wp:wrapTight wrapText="bothSides">
                    <wp:wrapPolygon edited="0">
                      <wp:start x="0" y="0"/>
                      <wp:lineTo x="0" y="21007"/>
                      <wp:lineTo x="922" y="21007"/>
                      <wp:lineTo x="21216" y="21007"/>
                      <wp:lineTo x="21216" y="0"/>
                      <wp:lineTo x="1937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175" cy="1018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4570">
              <w:rPr>
                <w:rFonts w:ascii="Arial" w:hAnsi="Arial" w:cs="Arial"/>
                <w:color w:val="6C6361"/>
                <w:sz w:val="20"/>
                <w:szCs w:val="20"/>
              </w:rPr>
              <w:t>To examine the relaxation of the rule of perfection and constitution;</w:t>
            </w:r>
          </w:p>
          <w:p w:rsidR="00C0125D" w:rsidRPr="00264570" w:rsidRDefault="00C0125D" w:rsidP="00654A47">
            <w:pPr>
              <w:pStyle w:val="ListParagraph"/>
              <w:numPr>
                <w:ilvl w:val="0"/>
                <w:numId w:val="2"/>
              </w:numPr>
              <w:spacing w:line="276" w:lineRule="auto"/>
              <w:jc w:val="left"/>
              <w:rPr>
                <w:rFonts w:ascii="Arial" w:hAnsi="Arial" w:cs="Arial"/>
                <w:color w:val="6C6361"/>
                <w:sz w:val="20"/>
                <w:szCs w:val="20"/>
              </w:rPr>
            </w:pPr>
            <w:r w:rsidRPr="00264570">
              <w:rPr>
                <w:rFonts w:ascii="Arial" w:hAnsi="Arial" w:cs="Arial"/>
                <w:color w:val="6C6361"/>
                <w:sz w:val="20"/>
                <w:szCs w:val="20"/>
              </w:rPr>
              <w:t xml:space="preserve">To examine the judgment in </w:t>
            </w:r>
            <w:r w:rsidRPr="00264570">
              <w:rPr>
                <w:rFonts w:ascii="Arial" w:hAnsi="Arial" w:cs="Arial"/>
                <w:i/>
                <w:color w:val="6C6361"/>
                <w:sz w:val="20"/>
                <w:szCs w:val="20"/>
              </w:rPr>
              <w:t xml:space="preserve">Pennington v </w:t>
            </w:r>
            <w:proofErr w:type="spellStart"/>
            <w:r w:rsidRPr="00264570">
              <w:rPr>
                <w:rFonts w:ascii="Arial" w:hAnsi="Arial" w:cs="Arial"/>
                <w:i/>
                <w:color w:val="6C6361"/>
                <w:sz w:val="20"/>
                <w:szCs w:val="20"/>
              </w:rPr>
              <w:t>Waine</w:t>
            </w:r>
            <w:proofErr w:type="spellEnd"/>
            <w:r w:rsidRPr="00264570">
              <w:rPr>
                <w:rFonts w:ascii="Arial" w:hAnsi="Arial" w:cs="Arial"/>
                <w:color w:val="6C6361"/>
                <w:sz w:val="20"/>
                <w:szCs w:val="20"/>
              </w:rPr>
              <w:t xml:space="preserve"> and its possible extension as a new principle for  perfection of gifts;</w:t>
            </w:r>
          </w:p>
          <w:p w:rsidR="00C0125D" w:rsidRPr="00264570" w:rsidRDefault="00C0125D" w:rsidP="00654A47">
            <w:pPr>
              <w:pStyle w:val="ListParagraph"/>
              <w:numPr>
                <w:ilvl w:val="0"/>
                <w:numId w:val="2"/>
              </w:numPr>
              <w:spacing w:line="276" w:lineRule="auto"/>
              <w:jc w:val="left"/>
              <w:rPr>
                <w:rFonts w:ascii="Arial" w:hAnsi="Arial" w:cs="Arial"/>
                <w:color w:val="6C6361"/>
                <w:sz w:val="20"/>
                <w:szCs w:val="20"/>
              </w:rPr>
            </w:pPr>
            <w:r w:rsidRPr="00264570">
              <w:rPr>
                <w:rFonts w:ascii="Arial" w:hAnsi="Arial" w:cs="Arial"/>
                <w:color w:val="6C6361"/>
                <w:sz w:val="20"/>
                <w:szCs w:val="20"/>
              </w:rPr>
              <w:t xml:space="preserve">To examine the rule in </w:t>
            </w:r>
            <w:r w:rsidRPr="00264570">
              <w:rPr>
                <w:rFonts w:ascii="Arial" w:hAnsi="Arial" w:cs="Arial"/>
                <w:i/>
                <w:color w:val="6C6361"/>
                <w:sz w:val="20"/>
                <w:szCs w:val="20"/>
              </w:rPr>
              <w:t>Strong v Bird</w:t>
            </w:r>
            <w:r w:rsidRPr="00264570">
              <w:rPr>
                <w:rFonts w:ascii="Arial" w:hAnsi="Arial" w:cs="Arial"/>
                <w:color w:val="6C6361"/>
                <w:sz w:val="20"/>
                <w:szCs w:val="20"/>
              </w:rPr>
              <w:t xml:space="preserve"> and its limits and overlaps with other doctrine, for example proprietary estoppel;</w:t>
            </w:r>
          </w:p>
          <w:p w:rsidR="00C0125D" w:rsidRDefault="00C0125D" w:rsidP="00654A47">
            <w:pPr>
              <w:pStyle w:val="ListParagraph"/>
              <w:numPr>
                <w:ilvl w:val="0"/>
                <w:numId w:val="2"/>
              </w:numPr>
              <w:spacing w:line="276" w:lineRule="auto"/>
              <w:jc w:val="left"/>
              <w:rPr>
                <w:rFonts w:ascii="Arial" w:hAnsi="Arial" w:cs="Arial"/>
                <w:color w:val="6C6361"/>
                <w:sz w:val="20"/>
                <w:szCs w:val="20"/>
              </w:rPr>
            </w:pPr>
            <w:r w:rsidRPr="00264570">
              <w:rPr>
                <w:rFonts w:ascii="Arial" w:hAnsi="Arial" w:cs="Arial"/>
                <w:color w:val="6C6361"/>
                <w:sz w:val="20"/>
                <w:szCs w:val="20"/>
              </w:rPr>
              <w:t xml:space="preserve">To consider the application of the </w:t>
            </w:r>
            <w:r>
              <w:rPr>
                <w:rFonts w:ascii="Arial" w:hAnsi="Arial" w:cs="Arial"/>
                <w:color w:val="6C6361"/>
                <w:sz w:val="20"/>
                <w:szCs w:val="20"/>
              </w:rPr>
              <w:t>coincidental receipt principle;</w:t>
            </w:r>
          </w:p>
          <w:p w:rsidR="00C0125D" w:rsidRPr="00264570" w:rsidRDefault="00C0125D" w:rsidP="00654A47">
            <w:pPr>
              <w:pStyle w:val="ListParagraph"/>
              <w:numPr>
                <w:ilvl w:val="0"/>
                <w:numId w:val="2"/>
              </w:numPr>
              <w:spacing w:line="276" w:lineRule="auto"/>
              <w:jc w:val="left"/>
              <w:rPr>
                <w:rFonts w:ascii="Arial" w:hAnsi="Arial" w:cs="Arial"/>
                <w:color w:val="6C6361"/>
                <w:sz w:val="20"/>
                <w:szCs w:val="20"/>
              </w:rPr>
            </w:pPr>
            <w:r w:rsidRPr="00264570">
              <w:rPr>
                <w:rFonts w:ascii="Arial" w:hAnsi="Arial" w:cs="Arial"/>
                <w:color w:val="6C6361"/>
                <w:sz w:val="20"/>
                <w:szCs w:val="20"/>
              </w:rPr>
              <w:t xml:space="preserve">To consider the application of </w:t>
            </w:r>
            <w:proofErr w:type="spellStart"/>
            <w:r w:rsidRPr="00264570">
              <w:rPr>
                <w:rFonts w:ascii="Arial" w:hAnsi="Arial" w:cs="Arial"/>
                <w:i/>
                <w:color w:val="6C6361"/>
                <w:sz w:val="20"/>
                <w:szCs w:val="20"/>
              </w:rPr>
              <w:t>donationes</w:t>
            </w:r>
            <w:proofErr w:type="spellEnd"/>
            <w:r w:rsidRPr="00264570">
              <w:rPr>
                <w:rFonts w:ascii="Arial" w:hAnsi="Arial" w:cs="Arial"/>
                <w:i/>
                <w:color w:val="6C6361"/>
                <w:sz w:val="20"/>
                <w:szCs w:val="20"/>
              </w:rPr>
              <w:t xml:space="preserve"> mortis </w:t>
            </w:r>
            <w:proofErr w:type="spellStart"/>
            <w:r w:rsidRPr="00264570">
              <w:rPr>
                <w:rFonts w:ascii="Arial" w:hAnsi="Arial" w:cs="Arial"/>
                <w:i/>
                <w:color w:val="6C6361"/>
                <w:sz w:val="20"/>
                <w:szCs w:val="20"/>
              </w:rPr>
              <w:t>causa</w:t>
            </w:r>
            <w:proofErr w:type="spellEnd"/>
            <w:r w:rsidRPr="00264570">
              <w:rPr>
                <w:rFonts w:ascii="Arial" w:hAnsi="Arial" w:cs="Arial"/>
                <w:color w:val="6C6361"/>
                <w:sz w:val="20"/>
                <w:szCs w:val="20"/>
              </w:rPr>
              <w:t xml:space="preserve"> in Hong Kong.</w:t>
            </w:r>
          </w:p>
        </w:tc>
      </w:tr>
    </w:tbl>
    <w:p w:rsidR="00680C81" w:rsidRPr="00C0125D" w:rsidRDefault="00680C81" w:rsidP="00680C81">
      <w:pPr>
        <w:spacing w:line="276" w:lineRule="auto"/>
        <w:rPr>
          <w:rFonts w:ascii="Arial" w:hAnsi="Arial" w:cs="Arial"/>
          <w:sz w:val="20"/>
          <w:szCs w:val="18"/>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370"/>
        <w:gridCol w:w="1315"/>
      </w:tblGrid>
      <w:tr w:rsidR="00C0125D" w:rsidRPr="00320F79" w:rsidTr="00961D9A">
        <w:trPr>
          <w:trHeight w:val="340"/>
          <w:jc w:val="center"/>
        </w:trPr>
        <w:tc>
          <w:tcPr>
            <w:tcW w:w="1701" w:type="dxa"/>
            <w:tcBorders>
              <w:top w:val="nil"/>
              <w:left w:val="nil"/>
              <w:bottom w:val="single" w:sz="12" w:space="0" w:color="FFFFFF"/>
            </w:tcBorders>
            <w:shd w:val="clear" w:color="auto" w:fill="F0EBE1"/>
            <w:vAlign w:val="center"/>
          </w:tcPr>
          <w:p w:rsidR="00C0125D" w:rsidRPr="00320F79" w:rsidRDefault="00C0125D" w:rsidP="00C012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C0125D" w:rsidRPr="00320F79" w:rsidRDefault="00C0125D" w:rsidP="00C012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EVT000000241</w:t>
            </w:r>
          </w:p>
        </w:tc>
        <w:tc>
          <w:tcPr>
            <w:tcW w:w="1701" w:type="dxa"/>
            <w:tcBorders>
              <w:top w:val="nil"/>
              <w:bottom w:val="single" w:sz="12" w:space="0" w:color="FFFFFF"/>
            </w:tcBorders>
            <w:shd w:val="clear" w:color="auto" w:fill="F0EBE1"/>
            <w:vAlign w:val="center"/>
          </w:tcPr>
          <w:p w:rsidR="00C0125D" w:rsidRPr="00320F79" w:rsidRDefault="00C0125D" w:rsidP="00C012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C0125D" w:rsidRPr="00320F79" w:rsidRDefault="00C0125D" w:rsidP="00C012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C0125D" w:rsidRPr="00320F79" w:rsidTr="00961D9A">
        <w:trPr>
          <w:trHeight w:val="340"/>
          <w:jc w:val="center"/>
        </w:trPr>
        <w:tc>
          <w:tcPr>
            <w:tcW w:w="1701" w:type="dxa"/>
            <w:tcBorders>
              <w:top w:val="single" w:sz="12" w:space="0" w:color="FFFFFF"/>
              <w:left w:val="nil"/>
              <w:bottom w:val="single" w:sz="12" w:space="0" w:color="FFFFFF"/>
            </w:tcBorders>
            <w:shd w:val="clear" w:color="auto" w:fill="F0EBE1"/>
            <w:vAlign w:val="center"/>
          </w:tcPr>
          <w:p w:rsidR="00C0125D" w:rsidRPr="00320F79" w:rsidRDefault="00C0125D" w:rsidP="00C012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C0125D" w:rsidRPr="00320F79" w:rsidRDefault="00C0125D" w:rsidP="00C012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6</w:t>
            </w:r>
            <w:r w:rsidRPr="004702B9">
              <w:rPr>
                <w:rFonts w:ascii="Arial" w:hAnsi="Arial" w:cs="Arial"/>
                <w:b/>
                <w:color w:val="6C6361"/>
                <w:sz w:val="20"/>
                <w:szCs w:val="20"/>
              </w:rPr>
              <w:t xml:space="preserve"> July 2018 (Friday)</w:t>
            </w:r>
          </w:p>
        </w:tc>
        <w:tc>
          <w:tcPr>
            <w:tcW w:w="1701" w:type="dxa"/>
            <w:tcBorders>
              <w:top w:val="single" w:sz="12" w:space="0" w:color="FFFFFF"/>
              <w:bottom w:val="single" w:sz="12" w:space="0" w:color="FFFFFF"/>
            </w:tcBorders>
            <w:shd w:val="clear" w:color="auto" w:fill="F0EBE1"/>
            <w:vAlign w:val="center"/>
          </w:tcPr>
          <w:p w:rsidR="00C0125D" w:rsidRPr="00320F79" w:rsidRDefault="00C0125D" w:rsidP="00C012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C0125D" w:rsidRPr="00320F79" w:rsidRDefault="00C0125D" w:rsidP="00C012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C0125D" w:rsidRPr="00320F79" w:rsidTr="00961D9A">
        <w:trPr>
          <w:trHeight w:val="340"/>
          <w:jc w:val="center"/>
        </w:trPr>
        <w:tc>
          <w:tcPr>
            <w:tcW w:w="1701" w:type="dxa"/>
            <w:tcBorders>
              <w:top w:val="single" w:sz="12" w:space="0" w:color="FFFFFF"/>
              <w:left w:val="nil"/>
              <w:bottom w:val="single" w:sz="12" w:space="0" w:color="FFFFFF"/>
            </w:tcBorders>
            <w:shd w:val="clear" w:color="auto" w:fill="F0EBE1"/>
            <w:vAlign w:val="center"/>
          </w:tcPr>
          <w:p w:rsidR="00C0125D" w:rsidRPr="00320F79" w:rsidRDefault="00C0125D" w:rsidP="00C012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C0125D" w:rsidRPr="00320F79" w:rsidRDefault="00C0125D" w:rsidP="00C012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w:t>
            </w:r>
            <w:r w:rsidRPr="00320F79">
              <w:rPr>
                <w:rFonts w:ascii="Arial" w:hAnsi="Arial" w:cs="Arial"/>
                <w:b/>
                <w:color w:val="6C6361"/>
                <w:sz w:val="20"/>
                <w:szCs w:val="20"/>
              </w:rPr>
              <w:t>:30 - 1</w:t>
            </w:r>
            <w:r>
              <w:rPr>
                <w:rFonts w:ascii="Arial" w:hAnsi="Arial" w:cs="Arial"/>
                <w:b/>
                <w:color w:val="6C6361"/>
                <w:sz w:val="20"/>
                <w:szCs w:val="20"/>
              </w:rPr>
              <w:t>7</w:t>
            </w:r>
            <w:r w:rsidRPr="00320F79">
              <w:rPr>
                <w:rFonts w:ascii="Arial" w:hAnsi="Arial" w:cs="Arial"/>
                <w:b/>
                <w:color w:val="6C6361"/>
                <w:sz w:val="20"/>
                <w:szCs w:val="20"/>
              </w:rPr>
              <w:t>:45</w:t>
            </w:r>
          </w:p>
          <w:p w:rsidR="00C0125D" w:rsidRPr="00320F79" w:rsidRDefault="00C0125D" w:rsidP="00C012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14</w:t>
            </w:r>
            <w:r w:rsidRPr="00320F79">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rsidR="00C0125D" w:rsidRPr="00320F79" w:rsidRDefault="00C0125D" w:rsidP="00C012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C0125D" w:rsidRPr="00E843DA" w:rsidRDefault="00C0125D" w:rsidP="00C012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320F79">
              <w:rPr>
                <w:rFonts w:ascii="Arial" w:hAnsi="Arial" w:cs="Arial"/>
                <w:b/>
                <w:color w:val="6C6361"/>
                <w:sz w:val="20"/>
                <w:szCs w:val="20"/>
              </w:rPr>
              <w:t>LSHK</w:t>
            </w:r>
            <w:r>
              <w:rPr>
                <w:rFonts w:ascii="Arial" w:hAnsi="Arial" w:cs="Arial"/>
                <w:b/>
                <w:color w:val="6C6361"/>
                <w:sz w:val="20"/>
                <w:szCs w:val="20"/>
              </w:rPr>
              <w:t xml:space="preserve"> 3.0 CPD Points</w:t>
            </w:r>
          </w:p>
        </w:tc>
      </w:tr>
      <w:tr w:rsidR="00680C81" w:rsidRPr="00320F79" w:rsidTr="00961D9A">
        <w:trPr>
          <w:trHeight w:val="1247"/>
          <w:jc w:val="center"/>
        </w:trPr>
        <w:tc>
          <w:tcPr>
            <w:tcW w:w="1701" w:type="dxa"/>
            <w:tcBorders>
              <w:top w:val="single" w:sz="12" w:space="0" w:color="FFFFFF"/>
              <w:left w:val="nil"/>
              <w:bottom w:val="nil"/>
            </w:tcBorders>
            <w:shd w:val="clear" w:color="auto" w:fill="F0EBE1"/>
            <w:vAlign w:val="center"/>
          </w:tcPr>
          <w:p w:rsidR="00680C81" w:rsidRPr="00320F79" w:rsidRDefault="00680C81" w:rsidP="00961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680C81" w:rsidRPr="00320F79" w:rsidRDefault="00680C81" w:rsidP="00961D9A">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320F79">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320F79">
              <w:rPr>
                <w:rFonts w:ascii="Arial" w:hAnsi="Arial" w:cs="Arial"/>
                <w:b/>
                <w:color w:val="6C6361"/>
                <w:sz w:val="20"/>
                <w:szCs w:val="20"/>
              </w:rPr>
              <w:fldChar w:fldCharType="separate"/>
            </w:r>
            <w:r w:rsidRPr="00320F79">
              <w:rPr>
                <w:rStyle w:val="Hyperlink"/>
                <w:rFonts w:ascii="Arial" w:hAnsi="Arial" w:cs="Arial"/>
                <w:b/>
                <w:color w:val="6C6361"/>
                <w:sz w:val="20"/>
                <w:szCs w:val="20"/>
                <w:u w:val="none"/>
              </w:rPr>
              <w:t>Kornerstone Institute</w:t>
            </w:r>
          </w:p>
          <w:p w:rsidR="00680C81" w:rsidRPr="00320F79" w:rsidRDefault="00680C81" w:rsidP="00961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15/F, Hip Shing Hong Centre</w:t>
            </w:r>
          </w:p>
          <w:p w:rsidR="00680C81" w:rsidRPr="00320F79" w:rsidRDefault="00680C81" w:rsidP="00961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55 Des Voeux Road Central</w:t>
            </w:r>
          </w:p>
          <w:p w:rsidR="00680C81" w:rsidRPr="00320F79" w:rsidRDefault="00680C81" w:rsidP="00961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320F79">
              <w:rPr>
                <w:rStyle w:val="Hyperlink"/>
                <w:rFonts w:ascii="Arial" w:hAnsi="Arial" w:cs="Arial"/>
                <w:color w:val="6C6361"/>
                <w:sz w:val="20"/>
                <w:szCs w:val="20"/>
                <w:u w:val="none"/>
              </w:rPr>
              <w:t>Central, Hong Kong</w:t>
            </w:r>
            <w:r w:rsidRPr="00320F79">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680C81" w:rsidRDefault="00680C81" w:rsidP="00961D9A">
            <w:pPr>
              <w:jc w:val="right"/>
              <w:rPr>
                <w:rFonts w:ascii="Arial" w:hAnsi="Arial" w:cs="Arial"/>
                <w:b/>
                <w:color w:val="6C6361"/>
                <w:sz w:val="20"/>
                <w:szCs w:val="20"/>
              </w:rPr>
            </w:pPr>
          </w:p>
          <w:p w:rsidR="00680C81" w:rsidRDefault="00680C81" w:rsidP="00961D9A">
            <w:pPr>
              <w:jc w:val="right"/>
              <w:rPr>
                <w:rFonts w:ascii="Arial" w:hAnsi="Arial" w:cs="Arial"/>
                <w:b/>
                <w:color w:val="6C6361"/>
                <w:sz w:val="20"/>
                <w:szCs w:val="20"/>
              </w:rPr>
            </w:pPr>
          </w:p>
          <w:p w:rsidR="00680C81" w:rsidRPr="00320F79" w:rsidRDefault="00680C81" w:rsidP="00961D9A">
            <w:pPr>
              <w:jc w:val="right"/>
              <w:rPr>
                <w:rFonts w:ascii="Arial" w:hAnsi="Arial" w:cs="Arial"/>
                <w:b/>
                <w:color w:val="6C6361"/>
                <w:sz w:val="20"/>
                <w:szCs w:val="20"/>
              </w:rPr>
            </w:pPr>
            <w:r w:rsidRPr="00320F79">
              <w:rPr>
                <w:rFonts w:ascii="Arial" w:hAnsi="Arial" w:cs="Arial"/>
                <w:b/>
                <w:noProof/>
                <w:color w:val="6C6361"/>
                <w:sz w:val="20"/>
                <w:szCs w:val="20"/>
              </w:rPr>
              <w:drawing>
                <wp:inline distT="0" distB="0" distL="0" distR="0" wp14:anchorId="224BF391" wp14:editId="56CBBC45">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680C81" w:rsidRPr="00E2201B" w:rsidRDefault="00680C81" w:rsidP="00961D9A">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rsidR="00680C81" w:rsidRPr="003A2A41" w:rsidRDefault="00680C81" w:rsidP="00961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680C81" w:rsidRPr="003A2A41" w:rsidRDefault="00680C81" w:rsidP="00961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370" w:type="dxa"/>
            <w:tcBorders>
              <w:top w:val="single" w:sz="12" w:space="0" w:color="F0EBE1"/>
              <w:bottom w:val="nil"/>
              <w:right w:val="nil"/>
            </w:tcBorders>
            <w:shd w:val="clear" w:color="auto" w:fill="FFFFFF"/>
            <w:vAlign w:val="center"/>
          </w:tcPr>
          <w:p w:rsidR="00680C81" w:rsidRPr="003A2A41" w:rsidRDefault="00680C81" w:rsidP="00961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680C81" w:rsidRPr="003A2A41" w:rsidRDefault="00680C81" w:rsidP="00961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315" w:type="dxa"/>
            <w:tcBorders>
              <w:top w:val="single" w:sz="12" w:space="0" w:color="F0EBE1"/>
              <w:left w:val="nil"/>
              <w:bottom w:val="nil"/>
              <w:right w:val="nil"/>
            </w:tcBorders>
            <w:shd w:val="clear" w:color="auto" w:fill="FFFFFF"/>
            <w:vAlign w:val="center"/>
          </w:tcPr>
          <w:p w:rsidR="00680C81" w:rsidRPr="00156567" w:rsidRDefault="00680C81" w:rsidP="00961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61027E8D" wp14:editId="37BDDF1C">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680C81" w:rsidRDefault="00214BC6" w:rsidP="00680C81">
      <w:pPr>
        <w:rPr>
          <w:sz w:val="2"/>
          <w:szCs w:val="2"/>
        </w:rPr>
      </w:pPr>
    </w:p>
    <w:sectPr w:rsidR="00214BC6" w:rsidRPr="00680C81"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2A22" w:rsidRDefault="00432A22" w:rsidP="00546556">
      <w:r>
        <w:separator/>
      </w:r>
    </w:p>
  </w:endnote>
  <w:endnote w:type="continuationSeparator" w:id="0">
    <w:p w:rsidR="00432A22" w:rsidRDefault="00432A22"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2A22" w:rsidRDefault="00432A22" w:rsidP="00546556">
      <w:r>
        <w:separator/>
      </w:r>
    </w:p>
  </w:footnote>
  <w:footnote w:type="continuationSeparator" w:id="0">
    <w:p w:rsidR="00432A22" w:rsidRDefault="00432A22"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EXclQufvPy8pRYK/QMH5HNlsRbj9bgV0Ei+fdVQLV5SRqUE0E+3bxfaVlv33XpC0oK2TCCoWQACArSv4wZo/UQ==" w:salt="cW4wftv16e9E5lKGKOaudw=="/>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3933"/>
    <w:rsid w:val="00054C0E"/>
    <w:rsid w:val="00055708"/>
    <w:rsid w:val="0005657B"/>
    <w:rsid w:val="000568E8"/>
    <w:rsid w:val="00056B7C"/>
    <w:rsid w:val="00061765"/>
    <w:rsid w:val="00062429"/>
    <w:rsid w:val="00062643"/>
    <w:rsid w:val="000630FE"/>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2E25"/>
    <w:rsid w:val="00153BCF"/>
    <w:rsid w:val="001543E8"/>
    <w:rsid w:val="001559FE"/>
    <w:rsid w:val="0015630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BE9"/>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3936"/>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62AB"/>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E75"/>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60E"/>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04F"/>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2A22"/>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53A3"/>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373"/>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2B"/>
    <w:rsid w:val="005B28A0"/>
    <w:rsid w:val="005B2CF8"/>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0C81"/>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6DD"/>
    <w:rsid w:val="006F074C"/>
    <w:rsid w:val="006F0813"/>
    <w:rsid w:val="006F222B"/>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489A"/>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3216"/>
    <w:rsid w:val="00994BF0"/>
    <w:rsid w:val="00994CDD"/>
    <w:rsid w:val="009956FF"/>
    <w:rsid w:val="00996B08"/>
    <w:rsid w:val="009A00B8"/>
    <w:rsid w:val="009A0118"/>
    <w:rsid w:val="009A03AC"/>
    <w:rsid w:val="009A3216"/>
    <w:rsid w:val="009A423D"/>
    <w:rsid w:val="009A5018"/>
    <w:rsid w:val="009A573B"/>
    <w:rsid w:val="009A590F"/>
    <w:rsid w:val="009A5955"/>
    <w:rsid w:val="009A5EEA"/>
    <w:rsid w:val="009B04F4"/>
    <w:rsid w:val="009B1BA2"/>
    <w:rsid w:val="009B5D85"/>
    <w:rsid w:val="009B7803"/>
    <w:rsid w:val="009C0972"/>
    <w:rsid w:val="009C09F9"/>
    <w:rsid w:val="009C3621"/>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BFB"/>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3F4D"/>
    <w:rsid w:val="00A74AD3"/>
    <w:rsid w:val="00A74E7F"/>
    <w:rsid w:val="00A74EEE"/>
    <w:rsid w:val="00A7504D"/>
    <w:rsid w:val="00A75D00"/>
    <w:rsid w:val="00A75FE7"/>
    <w:rsid w:val="00A771AB"/>
    <w:rsid w:val="00A80AA6"/>
    <w:rsid w:val="00A82265"/>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AF6D64"/>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41B"/>
    <w:rsid w:val="00BF468F"/>
    <w:rsid w:val="00BF58C7"/>
    <w:rsid w:val="00BF6E97"/>
    <w:rsid w:val="00BF7B24"/>
    <w:rsid w:val="00C00D6A"/>
    <w:rsid w:val="00C0125D"/>
    <w:rsid w:val="00C031A1"/>
    <w:rsid w:val="00C05E31"/>
    <w:rsid w:val="00C10584"/>
    <w:rsid w:val="00C1114E"/>
    <w:rsid w:val="00C11E42"/>
    <w:rsid w:val="00C12FF8"/>
    <w:rsid w:val="00C139DF"/>
    <w:rsid w:val="00C1448A"/>
    <w:rsid w:val="00C15722"/>
    <w:rsid w:val="00C15DEA"/>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335D"/>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66BB9"/>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4D0"/>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5424"/>
    <w:rsid w:val="00DB0C1E"/>
    <w:rsid w:val="00DB23E0"/>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308"/>
    <w:rsid w:val="00DE2AB7"/>
    <w:rsid w:val="00DE3375"/>
    <w:rsid w:val="00DE34B2"/>
    <w:rsid w:val="00DE3944"/>
    <w:rsid w:val="00DE3A70"/>
    <w:rsid w:val="00DE5329"/>
    <w:rsid w:val="00DE5900"/>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031"/>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2E73"/>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512/"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241/"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A15581-47FB-428F-9F79-80AB270F9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Pages>
  <Words>468</Words>
  <Characters>2672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CPD Course: "The Glorious Uncertainty of the Law": Developing an "Equitable Toolkit” from "First Principles" for a "Plain Man’s Guide to the Law of Co-Ownership" of Personal Property, Money in Bank Accounts and Real Property - When is a Gift a Trust?</vt:lpstr>
    </vt:vector>
  </TitlesOfParts>
  <Manager>Tyrone Tsang</Manager>
  <Company>The Profectional Company Limited</Company>
  <LinksUpToDate>false</LinksUpToDate>
  <CharactersWithSpaces>3134</CharactersWithSpaces>
  <SharedDoc>false</SharedDoc>
  <HyperlinkBase>http://download.profectional.com/events/EVT000000241.docx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Equity and the Perfection of Gifts and Constitution of Trusts</dc:title>
  <dc:subject>CPD Course: Equity and the Perfection of Gifts and Constitution of Trusts</dc:subject>
  <dc:creator>The Profectional Company Limited</dc:creator>
  <cp:keywords>Profectional; Kornerstone; CPD; CPT; CLE; CE; RME; Steven Gallagher; Associate Professor of Practice in Law; Associate Dean (Teaching &amp; Learning);The Faculty of Law; The Chinese University of Hong Kong</cp:keywords>
  <cp:lastModifiedBy>Tyrone Tsang</cp:lastModifiedBy>
  <cp:revision>30</cp:revision>
  <cp:lastPrinted>2018-07-05T15:20:00Z</cp:lastPrinted>
  <dcterms:created xsi:type="dcterms:W3CDTF">2017-01-12T02:41:00Z</dcterms:created>
  <dcterms:modified xsi:type="dcterms:W3CDTF">2018-07-05T15:20:00Z</dcterms:modified>
</cp:coreProperties>
</file>