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56C" w:rsidRPr="007A356C" w:rsidRDefault="007A356C" w:rsidP="007A356C">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7A356C" w:rsidRPr="00523A64" w:rsidTr="00420CC4">
        <w:trPr>
          <w:trHeight w:val="3119"/>
          <w:jc w:val="center"/>
        </w:trPr>
        <w:tc>
          <w:tcPr>
            <w:tcW w:w="4820" w:type="dxa"/>
            <w:shd w:val="clear" w:color="auto" w:fill="FFFFFF"/>
            <w:vAlign w:val="center"/>
          </w:tcPr>
          <w:p w:rsidR="007A356C" w:rsidRPr="008259A9" w:rsidRDefault="007A356C" w:rsidP="00420CC4">
            <w:pPr>
              <w:jc w:val="center"/>
              <w:rPr>
                <w:rFonts w:ascii="Arial" w:hAnsi="Arial" w:cs="Arial"/>
                <w:b/>
                <w:bCs/>
                <w:color w:val="524B48"/>
                <w:sz w:val="4"/>
                <w:szCs w:val="4"/>
              </w:rPr>
            </w:pPr>
          </w:p>
          <w:p w:rsidR="007A356C" w:rsidRDefault="007A356C" w:rsidP="00420CC4">
            <w:pPr>
              <w:jc w:val="center"/>
              <w:rPr>
                <w:rStyle w:val="Hyperlink"/>
                <w:rFonts w:ascii="Arial" w:hAnsi="Arial" w:cs="Arial"/>
                <w:b/>
                <w:bCs/>
                <w:color w:val="524B48"/>
                <w:sz w:val="32"/>
                <w:szCs w:val="32"/>
                <w:u w:val="none"/>
              </w:rPr>
            </w:pPr>
            <w:r>
              <w:fldChar w:fldCharType="begin"/>
            </w:r>
            <w:r>
              <w:instrText>HYPERLINK "http://cpd.hk/evt000000245/"</w:instrText>
            </w:r>
            <w:r>
              <w:fldChar w:fldCharType="separate"/>
            </w:r>
            <w:r>
              <w:rPr>
                <w:rStyle w:val="Hyperlink"/>
                <w:rFonts w:ascii="Arial" w:hAnsi="Arial" w:cs="Arial"/>
                <w:b/>
                <w:bCs/>
                <w:color w:val="524B48"/>
                <w:sz w:val="32"/>
                <w:szCs w:val="32"/>
                <w:u w:val="none"/>
              </w:rPr>
              <w:t>Legitimate Expectations:</w:t>
            </w:r>
          </w:p>
          <w:p w:rsidR="007A356C" w:rsidRPr="00032DE4" w:rsidRDefault="007A356C" w:rsidP="00420CC4">
            <w:pPr>
              <w:jc w:val="center"/>
              <w:rPr>
                <w:rFonts w:ascii="Arial" w:hAnsi="Arial" w:cs="Arial"/>
                <w:b/>
                <w:bCs/>
                <w:color w:val="524B48"/>
                <w:sz w:val="32"/>
                <w:szCs w:val="32"/>
              </w:rPr>
            </w:pPr>
            <w:r>
              <w:rPr>
                <w:rStyle w:val="Hyperlink"/>
                <w:rFonts w:ascii="Arial" w:hAnsi="Arial" w:cs="Arial"/>
                <w:b/>
                <w:bCs/>
                <w:color w:val="524B48"/>
                <w:sz w:val="32"/>
                <w:szCs w:val="32"/>
                <w:u w:val="none"/>
              </w:rPr>
              <w:t>All You Need to Know!</w:t>
            </w:r>
            <w:r>
              <w:rPr>
                <w:rStyle w:val="Hyperlink"/>
                <w:rFonts w:ascii="Arial" w:hAnsi="Arial" w:cs="Arial"/>
                <w:b/>
                <w:bCs/>
                <w:color w:val="524B48"/>
                <w:sz w:val="32"/>
                <w:szCs w:val="32"/>
                <w:u w:val="none"/>
              </w:rPr>
              <w:fldChar w:fldCharType="end"/>
            </w:r>
          </w:p>
          <w:p w:rsidR="007A356C" w:rsidRPr="00731F7F" w:rsidRDefault="007A356C" w:rsidP="00420CC4">
            <w:pPr>
              <w:jc w:val="center"/>
              <w:rPr>
                <w:rFonts w:ascii="Arial" w:hAnsi="Arial" w:cs="Arial"/>
                <w:b/>
                <w:bCs/>
                <w:sz w:val="24"/>
                <w:szCs w:val="28"/>
              </w:rPr>
            </w:pPr>
          </w:p>
          <w:p w:rsidR="007A356C" w:rsidRPr="009D67FA" w:rsidRDefault="007A356C" w:rsidP="00420CC4">
            <w:pPr>
              <w:jc w:val="center"/>
              <w:rPr>
                <w:rFonts w:ascii="Arial" w:hAnsi="Arial" w:cs="Arial"/>
                <w:i/>
                <w:color w:val="6C6361"/>
                <w:sz w:val="24"/>
                <w:szCs w:val="24"/>
              </w:rPr>
            </w:pPr>
            <w:r w:rsidRPr="009D67FA">
              <w:rPr>
                <w:rFonts w:ascii="Arial" w:hAnsi="Arial" w:cs="Arial"/>
                <w:i/>
                <w:color w:val="6C6361"/>
                <w:sz w:val="24"/>
                <w:szCs w:val="24"/>
              </w:rPr>
              <w:t>by</w:t>
            </w:r>
          </w:p>
          <w:p w:rsidR="007A356C" w:rsidRDefault="007A356C" w:rsidP="00420CC4">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rsidR="007A356C" w:rsidRDefault="007A356C" w:rsidP="00420CC4">
            <w:pPr>
              <w:jc w:val="center"/>
              <w:rPr>
                <w:rFonts w:ascii="Arial" w:hAnsi="Arial" w:cs="Arial"/>
                <w:color w:val="6C6361"/>
                <w:sz w:val="24"/>
                <w:szCs w:val="24"/>
              </w:rPr>
            </w:pPr>
            <w:r>
              <w:rPr>
                <w:rFonts w:ascii="Arial" w:hAnsi="Arial" w:cs="Arial"/>
                <w:color w:val="6C6361"/>
                <w:sz w:val="24"/>
                <w:szCs w:val="24"/>
              </w:rPr>
              <w:t>Associate Professor,</w:t>
            </w:r>
          </w:p>
          <w:p w:rsidR="007A356C" w:rsidRDefault="007A356C" w:rsidP="00420CC4">
            <w:pPr>
              <w:jc w:val="center"/>
              <w:rPr>
                <w:rFonts w:ascii="Arial" w:hAnsi="Arial" w:cs="Arial"/>
                <w:color w:val="6C6361"/>
                <w:sz w:val="24"/>
                <w:szCs w:val="24"/>
              </w:rPr>
            </w:pPr>
            <w:r>
              <w:rPr>
                <w:rFonts w:ascii="Arial" w:hAnsi="Arial" w:cs="Arial"/>
                <w:color w:val="6C6361"/>
                <w:sz w:val="24"/>
                <w:szCs w:val="24"/>
              </w:rPr>
              <w:t>School of Law,</w:t>
            </w:r>
          </w:p>
          <w:p w:rsidR="007A356C" w:rsidRPr="008259A9" w:rsidRDefault="007A356C" w:rsidP="00420CC4">
            <w:pPr>
              <w:jc w:val="center"/>
              <w:rPr>
                <w:rFonts w:ascii="Arial" w:hAnsi="Arial" w:cs="Arial"/>
                <w:color w:val="6C6361"/>
                <w:sz w:val="4"/>
                <w:szCs w:val="4"/>
              </w:rPr>
            </w:pPr>
            <w:r w:rsidRPr="00F40C7D">
              <w:rPr>
                <w:rFonts w:ascii="Arial" w:hAnsi="Arial" w:cs="Arial"/>
                <w:color w:val="6C6361"/>
                <w:sz w:val="24"/>
                <w:szCs w:val="24"/>
              </w:rPr>
              <w:t>City University of Hong Kong</w:t>
            </w:r>
          </w:p>
        </w:tc>
        <w:tc>
          <w:tcPr>
            <w:tcW w:w="5954" w:type="dxa"/>
            <w:shd w:val="clear" w:color="auto" w:fill="FFFFFF"/>
            <w:vAlign w:val="center"/>
          </w:tcPr>
          <w:p w:rsidR="007A356C" w:rsidRPr="00D50772" w:rsidRDefault="007A356C" w:rsidP="00420CC4">
            <w:pPr>
              <w:spacing w:line="276" w:lineRule="auto"/>
              <w:rPr>
                <w:rFonts w:ascii="Arial" w:eastAsia="Times New Roman" w:hAnsi="Arial" w:cs="Arial"/>
                <w:noProof/>
                <w:sz w:val="20"/>
                <w:szCs w:val="20"/>
              </w:rPr>
            </w:pPr>
            <w:r w:rsidRPr="00FB633E">
              <w:rPr>
                <w:rFonts w:ascii="Arial" w:eastAsia="Times New Roman" w:hAnsi="Arial" w:cs="Arial"/>
                <w:noProof/>
                <w:sz w:val="20"/>
                <w:szCs w:val="20"/>
              </w:rPr>
              <w:drawing>
                <wp:anchor distT="0" distB="0" distL="114300" distR="114300" simplePos="0" relativeHeight="251659264" behindDoc="0" locked="0" layoutInCell="1" allowOverlap="1" wp14:anchorId="618D24F0" wp14:editId="7ECEFD00">
                  <wp:simplePos x="0" y="0"/>
                  <wp:positionH relativeFrom="column">
                    <wp:posOffset>3178175</wp:posOffset>
                  </wp:positionH>
                  <wp:positionV relativeFrom="paragraph">
                    <wp:posOffset>-55880</wp:posOffset>
                  </wp:positionV>
                  <wp:extent cx="53975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5CCE5D4" wp14:editId="0099E789">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7A356C" w:rsidRPr="00F26BAF" w:rsidRDefault="007A356C" w:rsidP="007A356C">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7A356C" w:rsidRPr="00EE3A30" w:rsidTr="00420CC4">
        <w:trPr>
          <w:trHeight w:val="2722"/>
          <w:jc w:val="center"/>
        </w:trPr>
        <w:tc>
          <w:tcPr>
            <w:tcW w:w="1985" w:type="dxa"/>
            <w:shd w:val="clear" w:color="auto" w:fill="FFFFFF"/>
            <w:vAlign w:val="center"/>
          </w:tcPr>
          <w:p w:rsidR="007A356C" w:rsidRPr="00EE3A30" w:rsidRDefault="007A356C" w:rsidP="00420CC4">
            <w:pPr>
              <w:spacing w:line="276" w:lineRule="auto"/>
              <w:jc w:val="center"/>
              <w:rPr>
                <w:rFonts w:ascii="Arial" w:hAnsi="Arial" w:cs="Arial"/>
              </w:rPr>
            </w:pPr>
            <w:r w:rsidRPr="00EE3A30">
              <w:rPr>
                <w:rFonts w:ascii="Arial" w:hAnsi="Arial" w:cs="Arial"/>
                <w:noProof/>
              </w:rPr>
              <w:drawing>
                <wp:inline distT="0" distB="0" distL="0" distR="0" wp14:anchorId="2B542D5D" wp14:editId="575D2446">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7A356C" w:rsidRPr="009A6D3F" w:rsidRDefault="007A356C" w:rsidP="00420CC4">
            <w:pPr>
              <w:spacing w:line="276" w:lineRule="auto"/>
              <w:rPr>
                <w:rFonts w:ascii="Arial" w:hAnsi="Arial" w:cs="Arial"/>
                <w:sz w:val="20"/>
              </w:rPr>
            </w:pPr>
            <w:r w:rsidRPr="009A6D3F">
              <w:rPr>
                <w:rFonts w:ascii="Arial" w:hAnsi="Arial" w:cs="Arial"/>
                <w:color w:val="6C6361"/>
                <w:sz w:val="20"/>
              </w:rPr>
              <w:t>Dr. Stephen Thomson is an Associate Professor at City University of Hong Kong, where he leads teaching in administrative law.  He is a Legal Adviser to the Ombudsman of Hong Kong, a member of the Constitutional Affairs and Human Rights Committee of the Law Society of Hong Kong, and an examiner on the Overseas Lawyers Qualification Examination.  Dr. Thomson holds a Ph.D. in judicial review from the University of Edinburgh (UK).  In addition to his experience in the field of administrative law, Dr. Thomson is the leading authority on equitable jurisdiction in Scotland where he has written the only book on that subject, cited with approval in the supreme civil court in Scotland.  Dr. Thomson has practical legal and commercial experience, having worked at a UK law firm and acting on a consultancy and advisory basis to law firms, private clients and public bodies in Hong Kong and the UK.</w:t>
            </w:r>
          </w:p>
        </w:tc>
      </w:tr>
    </w:tbl>
    <w:p w:rsidR="007A356C" w:rsidRDefault="007A356C" w:rsidP="007A356C">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7A356C" w:rsidRPr="00390282" w:rsidTr="00420CC4">
        <w:trPr>
          <w:trHeight w:val="2140"/>
          <w:jc w:val="center"/>
        </w:trPr>
        <w:tc>
          <w:tcPr>
            <w:tcW w:w="10773" w:type="dxa"/>
            <w:gridSpan w:val="2"/>
            <w:tcBorders>
              <w:top w:val="nil"/>
              <w:bottom w:val="nil"/>
            </w:tcBorders>
            <w:shd w:val="clear" w:color="auto" w:fill="FFFFFF" w:themeFill="background1"/>
            <w:vAlign w:val="center"/>
          </w:tcPr>
          <w:p w:rsidR="007A356C" w:rsidRPr="009A6D3F" w:rsidRDefault="007A356C" w:rsidP="00420CC4">
            <w:pPr>
              <w:spacing w:line="276" w:lineRule="auto"/>
              <w:rPr>
                <w:rFonts w:ascii="Arial" w:hAnsi="Arial" w:cs="Arial"/>
                <w:b/>
                <w:color w:val="524B48"/>
                <w:sz w:val="20"/>
              </w:rPr>
            </w:pPr>
            <w:r w:rsidRPr="009A6D3F">
              <w:rPr>
                <w:rFonts w:ascii="Arial" w:hAnsi="Arial" w:cs="Arial"/>
                <w:color w:val="6C6361"/>
                <w:sz w:val="20"/>
              </w:rPr>
              <w:t>An accessible, step-by-step seminar on legitimate expectations from the author of the new, leading text on administrative law in Hong Kong (Stephen Thomson, 'Administrative Law in Hong Kong', Cambridge University Press, 2018).  Whether your work involves judicial review and you want to brush up on this essential ground of review, or you work in another area but want to strengthen your background legal knowledge in dealing with public bodies, this seminar makes a difficult subject easy to understand.  The seminar covers who can generate legitimate expectations, how they are generated, and how they are protected.  It also examines essential issues such as whether knowledge and reliance are required to establish breach of a legitimate expectation, and whether the representations of one government department can bind another department.  Come along and get to grips with this increasingly important area of law!</w:t>
            </w:r>
          </w:p>
        </w:tc>
      </w:tr>
      <w:tr w:rsidR="007A356C" w:rsidRPr="00390282" w:rsidTr="00420CC4">
        <w:trPr>
          <w:trHeight w:val="340"/>
          <w:jc w:val="center"/>
        </w:trPr>
        <w:tc>
          <w:tcPr>
            <w:tcW w:w="10773" w:type="dxa"/>
            <w:gridSpan w:val="2"/>
            <w:tcBorders>
              <w:top w:val="nil"/>
              <w:bottom w:val="nil"/>
            </w:tcBorders>
            <w:shd w:val="clear" w:color="auto" w:fill="F0EBE1"/>
            <w:vAlign w:val="center"/>
          </w:tcPr>
          <w:p w:rsidR="007A356C" w:rsidRPr="00390282" w:rsidRDefault="007A356C" w:rsidP="00420CC4">
            <w:pPr>
              <w:jc w:val="left"/>
              <w:rPr>
                <w:rFonts w:ascii="Arial" w:hAnsi="Arial" w:cs="Arial"/>
                <w:b/>
                <w:color w:val="524B48"/>
                <w:sz w:val="24"/>
                <w:szCs w:val="24"/>
              </w:rPr>
            </w:pPr>
            <w:r w:rsidRPr="009A6D3F">
              <w:rPr>
                <w:rFonts w:ascii="Arial" w:hAnsi="Arial" w:cs="Arial"/>
                <w:b/>
                <w:color w:val="524B48"/>
                <w:sz w:val="20"/>
              </w:rPr>
              <w:t>Key points covered:</w:t>
            </w:r>
          </w:p>
        </w:tc>
      </w:tr>
      <w:tr w:rsidR="007A356C" w:rsidRPr="00390282" w:rsidTr="00420CC4">
        <w:trPr>
          <w:trHeight w:val="2281"/>
          <w:jc w:val="center"/>
        </w:trPr>
        <w:tc>
          <w:tcPr>
            <w:tcW w:w="9072" w:type="dxa"/>
            <w:tcBorders>
              <w:top w:val="nil"/>
              <w:bottom w:val="nil"/>
              <w:right w:val="nil"/>
            </w:tcBorders>
            <w:shd w:val="clear" w:color="auto" w:fill="FFFFFF"/>
            <w:vAlign w:val="center"/>
          </w:tcPr>
          <w:p w:rsidR="007A356C" w:rsidRPr="009A6D3F" w:rsidRDefault="007A356C" w:rsidP="00420CC4">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What are legitimate expectations?</w:t>
            </w:r>
          </w:p>
          <w:p w:rsidR="007A356C" w:rsidRPr="009A6D3F" w:rsidRDefault="007A356C" w:rsidP="00420CC4">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Who can generate legitimate expectations?</w:t>
            </w:r>
          </w:p>
          <w:p w:rsidR="007A356C" w:rsidRPr="009A6D3F" w:rsidRDefault="007A356C" w:rsidP="00420CC4">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How are they generated?</w:t>
            </w:r>
          </w:p>
          <w:p w:rsidR="007A356C" w:rsidRPr="009A6D3F" w:rsidRDefault="007A356C" w:rsidP="00420CC4">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How are they protected?</w:t>
            </w:r>
          </w:p>
          <w:p w:rsidR="007A356C" w:rsidRPr="009A6D3F" w:rsidRDefault="007A356C" w:rsidP="00420CC4">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Specific vs. general classes of person relying on legitimate expectations</w:t>
            </w:r>
          </w:p>
          <w:p w:rsidR="007A356C" w:rsidRPr="009A6D3F" w:rsidRDefault="007A356C" w:rsidP="00420CC4">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Can the representations of one government department bind another department?</w:t>
            </w:r>
          </w:p>
          <w:p w:rsidR="007A356C" w:rsidRPr="009A6D3F" w:rsidRDefault="007A356C" w:rsidP="00420CC4">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Knowledge and reliance</w:t>
            </w:r>
          </w:p>
          <w:p w:rsidR="007A356C" w:rsidRPr="009A6D3F" w:rsidRDefault="007A356C" w:rsidP="00420CC4">
            <w:pPr>
              <w:pStyle w:val="ListParagraph"/>
              <w:numPr>
                <w:ilvl w:val="0"/>
                <w:numId w:val="2"/>
              </w:numPr>
              <w:rPr>
                <w:rFonts w:ascii="Arial" w:hAnsi="Arial" w:cs="Arial"/>
                <w:color w:val="6C6361"/>
                <w:sz w:val="20"/>
                <w:szCs w:val="24"/>
              </w:rPr>
            </w:pPr>
            <w:r w:rsidRPr="009A6D3F">
              <w:rPr>
                <w:rFonts w:ascii="Arial" w:hAnsi="Arial" w:cs="Arial"/>
                <w:color w:val="6C6361"/>
                <w:sz w:val="20"/>
              </w:rPr>
              <w:t>Conduct of the applicant</w:t>
            </w:r>
          </w:p>
        </w:tc>
        <w:tc>
          <w:tcPr>
            <w:tcW w:w="1701" w:type="dxa"/>
            <w:tcBorders>
              <w:top w:val="nil"/>
              <w:left w:val="nil"/>
              <w:bottom w:val="nil"/>
            </w:tcBorders>
            <w:shd w:val="clear" w:color="auto" w:fill="FFFFFF" w:themeFill="background1"/>
            <w:vAlign w:val="center"/>
          </w:tcPr>
          <w:p w:rsidR="007A356C" w:rsidRDefault="007A356C" w:rsidP="00420CC4">
            <w:pPr>
              <w:jc w:val="center"/>
              <w:rPr>
                <w:rFonts w:ascii="Arial" w:hAnsi="Arial" w:cs="Arial"/>
                <w:color w:val="6C6361"/>
                <w:sz w:val="24"/>
                <w:szCs w:val="24"/>
              </w:rPr>
            </w:pPr>
          </w:p>
          <w:p w:rsidR="007A356C" w:rsidRPr="00EE3A30" w:rsidRDefault="007A356C" w:rsidP="00420CC4">
            <w:pPr>
              <w:jc w:val="center"/>
              <w:rPr>
                <w:rFonts w:ascii="Arial" w:hAnsi="Arial" w:cs="Arial"/>
                <w:color w:val="6C6361"/>
                <w:sz w:val="24"/>
                <w:szCs w:val="24"/>
              </w:rPr>
            </w:pPr>
            <w:r w:rsidRPr="008E2076">
              <w:rPr>
                <w:rFonts w:ascii="Arial" w:hAnsi="Arial" w:cs="Arial"/>
                <w:noProof/>
                <w:color w:val="6C6361"/>
                <w:sz w:val="24"/>
                <w:szCs w:val="24"/>
              </w:rPr>
              <w:drawing>
                <wp:inline distT="0" distB="0" distL="0" distR="0" wp14:anchorId="2B456E74" wp14:editId="21AB3235">
                  <wp:extent cx="892800" cy="10188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7A356C" w:rsidRPr="007A74B2" w:rsidRDefault="007A356C" w:rsidP="005C693B">
      <w:pPr>
        <w:spacing w:line="276" w:lineRule="auto"/>
        <w:rPr>
          <w:rFonts w:ascii="Arial" w:hAnsi="Arial" w:cs="Arial"/>
          <w:sz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7A356C" w:rsidRPr="005A2F25" w:rsidTr="007A74B2">
        <w:trPr>
          <w:trHeight w:val="340"/>
          <w:jc w:val="center"/>
        </w:trPr>
        <w:tc>
          <w:tcPr>
            <w:tcW w:w="1695" w:type="dxa"/>
            <w:tcBorders>
              <w:top w:val="nil"/>
              <w:left w:val="nil"/>
              <w:bottom w:val="single" w:sz="12" w:space="0" w:color="FFFFFF"/>
            </w:tcBorders>
            <w:shd w:val="clear" w:color="auto" w:fill="F0EBE1"/>
            <w:vAlign w:val="center"/>
          </w:tcPr>
          <w:p w:rsidR="007A356C" w:rsidRPr="002343EF" w:rsidRDefault="007A356C" w:rsidP="007A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7A356C" w:rsidRPr="002343EF" w:rsidRDefault="007A356C" w:rsidP="007A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EVT000000245</w:t>
            </w:r>
          </w:p>
        </w:tc>
        <w:tc>
          <w:tcPr>
            <w:tcW w:w="1700" w:type="dxa"/>
            <w:tcBorders>
              <w:top w:val="nil"/>
              <w:bottom w:val="single" w:sz="12" w:space="0" w:color="FFFFFF"/>
            </w:tcBorders>
            <w:shd w:val="clear" w:color="auto" w:fill="F0EBE1"/>
            <w:vAlign w:val="center"/>
          </w:tcPr>
          <w:p w:rsidR="007A356C" w:rsidRPr="002343EF" w:rsidRDefault="007A356C" w:rsidP="007A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7A356C" w:rsidRPr="002343EF" w:rsidRDefault="007A356C" w:rsidP="007A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7A356C" w:rsidRPr="005A2F25"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rsidR="007A356C" w:rsidRPr="002343EF" w:rsidRDefault="007A356C" w:rsidP="007A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7A356C" w:rsidRPr="006B70C1" w:rsidRDefault="007A356C" w:rsidP="007A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23 August 2018 (Thursday)</w:t>
            </w:r>
          </w:p>
        </w:tc>
        <w:tc>
          <w:tcPr>
            <w:tcW w:w="1700" w:type="dxa"/>
            <w:tcBorders>
              <w:top w:val="single" w:sz="12" w:space="0" w:color="FFFFFF"/>
              <w:bottom w:val="single" w:sz="12" w:space="0" w:color="FFFFFF"/>
            </w:tcBorders>
            <w:shd w:val="clear" w:color="auto" w:fill="F0EBE1"/>
            <w:vAlign w:val="center"/>
          </w:tcPr>
          <w:p w:rsidR="007A356C" w:rsidRPr="002343EF" w:rsidRDefault="007A356C" w:rsidP="007A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7A356C" w:rsidRPr="002343EF" w:rsidRDefault="007A356C" w:rsidP="007A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7A356C" w:rsidRPr="005A2F25"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rsidR="007A356C" w:rsidRPr="002343EF" w:rsidRDefault="007A356C" w:rsidP="007A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7A356C" w:rsidRDefault="007A356C" w:rsidP="007A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7A356C" w:rsidRPr="00EC7ADB" w:rsidRDefault="007A356C" w:rsidP="007A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7A356C" w:rsidRPr="002343EF" w:rsidRDefault="007A356C" w:rsidP="007A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7A356C" w:rsidRPr="006B70C1" w:rsidRDefault="007A356C" w:rsidP="007A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2F4919" w:rsidRPr="005A2F25" w:rsidTr="007A74B2">
        <w:trPr>
          <w:trHeight w:val="1134"/>
          <w:jc w:val="center"/>
        </w:trPr>
        <w:tc>
          <w:tcPr>
            <w:tcW w:w="1695" w:type="dxa"/>
            <w:tcBorders>
              <w:top w:val="single" w:sz="12" w:space="0" w:color="FFFFFF"/>
              <w:left w:val="nil"/>
              <w:bottom w:val="nil"/>
            </w:tcBorders>
            <w:shd w:val="clear" w:color="auto" w:fill="F0EBE1"/>
            <w:vAlign w:val="center"/>
          </w:tcPr>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2F4919" w:rsidRPr="00482956" w:rsidRDefault="002F4919" w:rsidP="002F491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2F4919" w:rsidRPr="00F36D9A"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rsidR="002F4919" w:rsidRPr="00F36D9A"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2F4919" w:rsidRPr="00334CAE" w:rsidRDefault="002F4919" w:rsidP="002F4919">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5F251754" wp14:editId="2CFCDCBE">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2F4919" w:rsidRPr="00334CAE" w:rsidRDefault="002F4919" w:rsidP="002F4919">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2F4919" w:rsidRPr="00156567"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BAD2130" wp14:editId="3BDF292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7A74B2" w:rsidRDefault="00214BC6" w:rsidP="005C693B">
      <w:pPr>
        <w:rPr>
          <w:sz w:val="2"/>
          <w:szCs w:val="2"/>
        </w:rPr>
      </w:pPr>
    </w:p>
    <w:sectPr w:rsidR="00214BC6" w:rsidRPr="007A74B2"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B3A" w:rsidRDefault="00161B3A" w:rsidP="00546556">
      <w:r>
        <w:separator/>
      </w:r>
    </w:p>
  </w:endnote>
  <w:endnote w:type="continuationSeparator" w:id="0">
    <w:p w:rsidR="00161B3A" w:rsidRDefault="00161B3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B3A" w:rsidRDefault="00161B3A" w:rsidP="00546556">
      <w:r>
        <w:separator/>
      </w:r>
    </w:p>
  </w:footnote>
  <w:footnote w:type="continuationSeparator" w:id="0">
    <w:p w:rsidR="00161B3A" w:rsidRDefault="00161B3A"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4qCNcbwJE+eimv53lcTtrXwiJNLyY8NL6XcTgckA5rnssaU1eX/+7mdXLwrox/i+ZV1DJkYFDUf2cUHkDp+1ww==" w:salt="KP+PXH+sRfSxqGqdo4Vu1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1B3A"/>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1"/>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56F5"/>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97ACB"/>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356C"/>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830"/>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6B0E"/>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0D84"/>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4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9525A-BD6C-4B33-ABA1-7B8DD5733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425</Words>
  <Characters>2428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An Introduction to Judicial Review</vt:lpstr>
    </vt:vector>
  </TitlesOfParts>
  <Manager>Tyrone Tsang</Manager>
  <Company>The Profectional Company Limited</Company>
  <LinksUpToDate>false</LinksUpToDate>
  <CharactersWithSpaces>2848</CharactersWithSpaces>
  <SharedDoc>false</SharedDoc>
  <HyperlinkBase>http://download.profectional.com/events/EVT000000245.docx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Legitimate Expectations: All You Need to Know!</dc:title>
  <dc:subject>CPD Course: Legitimate Expectations: All You Need to Know!</dc:subject>
  <dc:creator>The Profectional Company Limited</dc:creator>
  <cp:keywords>Profectional; Kornerstone; CPD; CPT; CLE; CE; RME; Stephen Thomson; Associate Professor; School of Law; City University of Hong Kong</cp:keywords>
  <cp:lastModifiedBy>Tyrone Tsang</cp:lastModifiedBy>
  <cp:revision>52</cp:revision>
  <cp:lastPrinted>2018-08-22T01:43:00Z</cp:lastPrinted>
  <dcterms:created xsi:type="dcterms:W3CDTF">2015-08-21T08:33:00Z</dcterms:created>
  <dcterms:modified xsi:type="dcterms:W3CDTF">2018-08-22T01:43:00Z</dcterms:modified>
</cp:coreProperties>
</file>