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4DB1" w:rsidRPr="00074DB1" w:rsidRDefault="00074DB1" w:rsidP="00074DB1">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074DB1" w:rsidRPr="00523A64" w:rsidTr="00D211D1">
        <w:trPr>
          <w:trHeight w:val="3119"/>
          <w:jc w:val="center"/>
        </w:trPr>
        <w:tc>
          <w:tcPr>
            <w:tcW w:w="4820" w:type="dxa"/>
            <w:shd w:val="clear" w:color="auto" w:fill="FFFFFF"/>
            <w:vAlign w:val="center"/>
          </w:tcPr>
          <w:p w:rsidR="00074DB1" w:rsidRPr="008259A9" w:rsidRDefault="00074DB1" w:rsidP="00D211D1">
            <w:pPr>
              <w:jc w:val="center"/>
              <w:rPr>
                <w:rFonts w:ascii="Arial" w:hAnsi="Arial" w:cs="Arial"/>
                <w:b/>
                <w:bCs/>
                <w:color w:val="524B48"/>
                <w:sz w:val="4"/>
                <w:szCs w:val="4"/>
              </w:rPr>
            </w:pPr>
          </w:p>
          <w:p w:rsidR="00074DB1" w:rsidRDefault="00074DB1" w:rsidP="00D211D1">
            <w:pPr>
              <w:jc w:val="center"/>
              <w:rPr>
                <w:rStyle w:val="Hyperlink"/>
                <w:rFonts w:ascii="Arial" w:hAnsi="Arial" w:cs="Arial"/>
                <w:b/>
                <w:bCs/>
                <w:color w:val="524B48"/>
                <w:sz w:val="32"/>
                <w:szCs w:val="32"/>
                <w:u w:val="none"/>
              </w:rPr>
            </w:pPr>
            <w:r>
              <w:fldChar w:fldCharType="begin"/>
            </w:r>
            <w:r>
              <w:instrText>HYPERLINK "http://cpd.hk/evt000000246/"</w:instrText>
            </w:r>
            <w:r>
              <w:fldChar w:fldCharType="separate"/>
            </w:r>
            <w:r>
              <w:rPr>
                <w:rStyle w:val="Hyperlink"/>
                <w:rFonts w:ascii="Arial" w:hAnsi="Arial" w:cs="Arial"/>
                <w:b/>
                <w:bCs/>
                <w:color w:val="524B48"/>
                <w:sz w:val="32"/>
                <w:szCs w:val="32"/>
                <w:u w:val="none"/>
              </w:rPr>
              <w:t>The Tort of Conversion:</w:t>
            </w:r>
          </w:p>
          <w:p w:rsidR="00074DB1" w:rsidRPr="008210C3" w:rsidRDefault="00074DB1" w:rsidP="00D211D1">
            <w:pPr>
              <w:jc w:val="center"/>
              <w:rPr>
                <w:rStyle w:val="Hyperlink"/>
                <w:rFonts w:ascii="Arial" w:hAnsi="Arial" w:cs="Arial"/>
                <w:b/>
                <w:bCs/>
                <w:i/>
                <w:color w:val="524B48"/>
                <w:sz w:val="32"/>
                <w:szCs w:val="32"/>
                <w:u w:val="none"/>
              </w:rPr>
            </w:pPr>
            <w:r w:rsidRPr="008210C3">
              <w:rPr>
                <w:rStyle w:val="Hyperlink"/>
                <w:rFonts w:ascii="Arial" w:hAnsi="Arial" w:cs="Arial"/>
                <w:b/>
                <w:bCs/>
                <w:i/>
                <w:color w:val="524B48"/>
                <w:sz w:val="32"/>
                <w:szCs w:val="32"/>
                <w:u w:val="none"/>
              </w:rPr>
              <w:t>OBG Ltd. v. Allan</w:t>
            </w:r>
          </w:p>
          <w:p w:rsidR="00074DB1" w:rsidRPr="00032DE4" w:rsidRDefault="00074DB1" w:rsidP="00D211D1">
            <w:pPr>
              <w:jc w:val="center"/>
              <w:rPr>
                <w:rFonts w:ascii="Arial" w:hAnsi="Arial" w:cs="Arial"/>
                <w:b/>
                <w:bCs/>
                <w:color w:val="524B48"/>
                <w:sz w:val="32"/>
                <w:szCs w:val="32"/>
              </w:rPr>
            </w:pPr>
            <w:r>
              <w:rPr>
                <w:rStyle w:val="Hyperlink"/>
                <w:rFonts w:ascii="Arial" w:hAnsi="Arial" w:cs="Arial"/>
                <w:b/>
                <w:bCs/>
                <w:color w:val="524B48"/>
                <w:sz w:val="32"/>
                <w:szCs w:val="32"/>
                <w:u w:val="none"/>
              </w:rPr>
              <w:t>Revisited</w:t>
            </w:r>
            <w:r>
              <w:rPr>
                <w:rStyle w:val="Hyperlink"/>
                <w:rFonts w:ascii="Arial" w:hAnsi="Arial" w:cs="Arial"/>
                <w:b/>
                <w:bCs/>
                <w:color w:val="524B48"/>
                <w:sz w:val="32"/>
                <w:szCs w:val="32"/>
                <w:u w:val="none"/>
              </w:rPr>
              <w:fldChar w:fldCharType="end"/>
            </w:r>
          </w:p>
          <w:p w:rsidR="00074DB1" w:rsidRPr="00731F7F" w:rsidRDefault="00074DB1" w:rsidP="00D211D1">
            <w:pPr>
              <w:jc w:val="center"/>
              <w:rPr>
                <w:rFonts w:ascii="Arial" w:hAnsi="Arial" w:cs="Arial"/>
                <w:b/>
                <w:bCs/>
                <w:sz w:val="24"/>
                <w:szCs w:val="28"/>
              </w:rPr>
            </w:pPr>
          </w:p>
          <w:p w:rsidR="00074DB1" w:rsidRPr="009D67FA" w:rsidRDefault="00074DB1" w:rsidP="00D211D1">
            <w:pPr>
              <w:jc w:val="center"/>
              <w:rPr>
                <w:rFonts w:ascii="Arial" w:hAnsi="Arial" w:cs="Arial"/>
                <w:i/>
                <w:color w:val="6C6361"/>
                <w:sz w:val="24"/>
                <w:szCs w:val="24"/>
              </w:rPr>
            </w:pPr>
            <w:r w:rsidRPr="009D67FA">
              <w:rPr>
                <w:rFonts w:ascii="Arial" w:hAnsi="Arial" w:cs="Arial"/>
                <w:i/>
                <w:color w:val="6C6361"/>
                <w:sz w:val="24"/>
                <w:szCs w:val="24"/>
              </w:rPr>
              <w:t>by</w:t>
            </w:r>
          </w:p>
          <w:p w:rsidR="00074DB1" w:rsidRPr="00B8559C" w:rsidRDefault="00074DB1" w:rsidP="00D211D1">
            <w:pPr>
              <w:jc w:val="center"/>
              <w:rPr>
                <w:rFonts w:ascii="Arial" w:hAnsi="Arial" w:cs="Arial"/>
                <w:color w:val="524B48"/>
                <w:sz w:val="24"/>
                <w:szCs w:val="24"/>
              </w:rPr>
            </w:pPr>
            <w:hyperlink r:id="rId8" w:history="1">
              <w:r w:rsidRPr="00AC7DF6">
                <w:rPr>
                  <w:rStyle w:val="Hyperlink"/>
                  <w:rFonts w:ascii="Arial" w:hAnsi="Arial" w:cs="Arial"/>
                  <w:color w:val="6C6361"/>
                  <w:sz w:val="24"/>
                  <w:szCs w:val="24"/>
                  <w:u w:val="none"/>
                </w:rPr>
                <w:t>Prof. Lutz-Christian Wolff</w:t>
              </w:r>
            </w:hyperlink>
            <w:r w:rsidRPr="00B8559C">
              <w:rPr>
                <w:rFonts w:ascii="Arial" w:hAnsi="Arial" w:cs="Arial"/>
                <w:color w:val="524B48"/>
                <w:sz w:val="24"/>
                <w:szCs w:val="24"/>
              </w:rPr>
              <w:t>,</w:t>
            </w:r>
          </w:p>
          <w:p w:rsidR="00074DB1" w:rsidRDefault="00074DB1" w:rsidP="00D211D1">
            <w:pPr>
              <w:jc w:val="center"/>
              <w:rPr>
                <w:rFonts w:ascii="Arial" w:hAnsi="Arial" w:cs="Arial"/>
                <w:color w:val="6C6361"/>
                <w:sz w:val="24"/>
                <w:szCs w:val="24"/>
              </w:rPr>
            </w:pPr>
            <w:r>
              <w:rPr>
                <w:rFonts w:ascii="Arial" w:hAnsi="Arial" w:cs="Arial"/>
                <w:color w:val="6C6361"/>
                <w:sz w:val="24"/>
                <w:szCs w:val="24"/>
              </w:rPr>
              <w:t xml:space="preserve">Wei </w:t>
            </w:r>
            <w:proofErr w:type="spellStart"/>
            <w:r>
              <w:rPr>
                <w:rFonts w:ascii="Arial" w:hAnsi="Arial" w:cs="Arial"/>
                <w:color w:val="6C6361"/>
                <w:sz w:val="24"/>
                <w:szCs w:val="24"/>
              </w:rPr>
              <w:t>Lun</w:t>
            </w:r>
            <w:proofErr w:type="spellEnd"/>
            <w:r>
              <w:rPr>
                <w:rFonts w:ascii="Arial" w:hAnsi="Arial" w:cs="Arial"/>
                <w:color w:val="6C6361"/>
                <w:sz w:val="24"/>
                <w:szCs w:val="24"/>
              </w:rPr>
              <w:t xml:space="preserve"> Professor of </w:t>
            </w:r>
            <w:r w:rsidRPr="00B8559C">
              <w:rPr>
                <w:rFonts w:ascii="Arial" w:hAnsi="Arial" w:cs="Arial"/>
                <w:color w:val="6C6361"/>
                <w:sz w:val="24"/>
                <w:szCs w:val="24"/>
              </w:rPr>
              <w:t>Law</w:t>
            </w:r>
            <w:r>
              <w:rPr>
                <w:rFonts w:ascii="Arial" w:hAnsi="Arial" w:cs="Arial"/>
                <w:color w:val="6C6361"/>
                <w:sz w:val="24"/>
                <w:szCs w:val="24"/>
              </w:rPr>
              <w:t>,</w:t>
            </w:r>
          </w:p>
          <w:p w:rsidR="00074DB1" w:rsidRDefault="00074DB1" w:rsidP="00D211D1">
            <w:pPr>
              <w:jc w:val="center"/>
              <w:rPr>
                <w:rFonts w:ascii="Arial" w:hAnsi="Arial" w:cs="Arial"/>
                <w:color w:val="6C6361"/>
                <w:sz w:val="24"/>
                <w:szCs w:val="24"/>
              </w:rPr>
            </w:pPr>
            <w:r>
              <w:rPr>
                <w:rFonts w:ascii="Arial" w:hAnsi="Arial" w:cs="Arial"/>
                <w:color w:val="6C6361"/>
                <w:sz w:val="24"/>
                <w:szCs w:val="24"/>
              </w:rPr>
              <w:t>Dean, Graduate School,</w:t>
            </w:r>
          </w:p>
          <w:p w:rsidR="00074DB1" w:rsidRPr="00301450" w:rsidRDefault="00074DB1" w:rsidP="00D211D1">
            <w:pPr>
              <w:jc w:val="center"/>
              <w:rPr>
                <w:rFonts w:ascii="Arial" w:hAnsi="Arial" w:cs="Arial"/>
                <w:color w:val="6C6361"/>
                <w:sz w:val="24"/>
                <w:szCs w:val="24"/>
              </w:rPr>
            </w:pPr>
            <w:r>
              <w:rPr>
                <w:rFonts w:ascii="Arial" w:hAnsi="Arial" w:cs="Arial"/>
                <w:color w:val="6C6361"/>
                <w:sz w:val="24"/>
                <w:szCs w:val="24"/>
              </w:rPr>
              <w:t>The Chinese University of Hong Kong</w:t>
            </w:r>
          </w:p>
        </w:tc>
        <w:tc>
          <w:tcPr>
            <w:tcW w:w="5954" w:type="dxa"/>
            <w:shd w:val="clear" w:color="auto" w:fill="FFFFFF"/>
            <w:vAlign w:val="center"/>
          </w:tcPr>
          <w:p w:rsidR="00074DB1" w:rsidRPr="00D50772" w:rsidRDefault="00074DB1" w:rsidP="00D211D1">
            <w:pPr>
              <w:spacing w:line="276" w:lineRule="auto"/>
              <w:rPr>
                <w:rFonts w:ascii="Arial" w:eastAsia="Times New Roman" w:hAnsi="Arial" w:cs="Arial"/>
                <w:noProof/>
                <w:sz w:val="20"/>
                <w:szCs w:val="20"/>
              </w:rPr>
            </w:pPr>
            <w:r w:rsidRPr="008210C3">
              <w:rPr>
                <w:rFonts w:ascii="Arial" w:eastAsia="Times New Roman" w:hAnsi="Arial" w:cs="Arial"/>
                <w:noProof/>
                <w:sz w:val="20"/>
                <w:szCs w:val="20"/>
              </w:rPr>
              <w:drawing>
                <wp:anchor distT="0" distB="0" distL="114300" distR="114300" simplePos="0" relativeHeight="251659264" behindDoc="0" locked="0" layoutInCell="1" allowOverlap="1" wp14:anchorId="59F55D94" wp14:editId="3513D15B">
                  <wp:simplePos x="0" y="0"/>
                  <wp:positionH relativeFrom="column">
                    <wp:posOffset>3176270</wp:posOffset>
                  </wp:positionH>
                  <wp:positionV relativeFrom="paragraph">
                    <wp:posOffset>-60960</wp:posOffset>
                  </wp:positionV>
                  <wp:extent cx="539750" cy="546735"/>
                  <wp:effectExtent l="0" t="0" r="0" b="5715"/>
                  <wp:wrapNone/>
                  <wp:docPr id="13" name="Picture 1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54535AB0" wp14:editId="1CCAE87B">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074DB1" w:rsidRDefault="00074DB1" w:rsidP="00074DB1">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074DB1" w:rsidRPr="00A70F69" w:rsidTr="00D211D1">
        <w:trPr>
          <w:trHeight w:val="3407"/>
          <w:jc w:val="center"/>
        </w:trPr>
        <w:tc>
          <w:tcPr>
            <w:tcW w:w="1985" w:type="dxa"/>
            <w:shd w:val="clear" w:color="auto" w:fill="FFFFFF"/>
            <w:vAlign w:val="center"/>
          </w:tcPr>
          <w:p w:rsidR="00074DB1" w:rsidRPr="00A70F69" w:rsidRDefault="00074DB1" w:rsidP="00D211D1">
            <w:pPr>
              <w:spacing w:line="276" w:lineRule="auto"/>
              <w:jc w:val="center"/>
              <w:rPr>
                <w:rFonts w:ascii="Arial" w:hAnsi="Arial" w:cs="Arial"/>
                <w:sz w:val="21"/>
                <w:szCs w:val="21"/>
              </w:rPr>
            </w:pPr>
            <w:r w:rsidRPr="00A70F69">
              <w:rPr>
                <w:rFonts w:ascii="Arial" w:hAnsi="Arial" w:cs="Arial"/>
                <w:noProof/>
                <w:sz w:val="21"/>
                <w:szCs w:val="21"/>
              </w:rPr>
              <w:drawing>
                <wp:inline distT="0" distB="0" distL="0" distR="0" wp14:anchorId="2F4588A8" wp14:editId="199863EF">
                  <wp:extent cx="1078705" cy="1438273"/>
                  <wp:effectExtent l="0" t="0" r="0" b="0"/>
                  <wp:docPr id="11"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78705" cy="1438273"/>
                          </a:xfrm>
                          <a:prstGeom prst="rect">
                            <a:avLst/>
                          </a:prstGeom>
                          <a:noFill/>
                          <a:ln w="9525">
                            <a:noFill/>
                            <a:miter lim="800000"/>
                            <a:headEnd/>
                            <a:tailEnd/>
                          </a:ln>
                        </pic:spPr>
                      </pic:pic>
                    </a:graphicData>
                  </a:graphic>
                </wp:inline>
              </w:drawing>
            </w:r>
          </w:p>
        </w:tc>
        <w:tc>
          <w:tcPr>
            <w:tcW w:w="8788" w:type="dxa"/>
            <w:shd w:val="clear" w:color="auto" w:fill="FFFFFF"/>
            <w:vAlign w:val="center"/>
          </w:tcPr>
          <w:p w:rsidR="00074DB1" w:rsidRPr="00A70F69" w:rsidRDefault="00074DB1" w:rsidP="00D211D1">
            <w:pPr>
              <w:spacing w:line="276" w:lineRule="auto"/>
              <w:rPr>
                <w:rFonts w:ascii="Arial" w:hAnsi="Arial" w:cs="Arial"/>
                <w:color w:val="6C6361"/>
                <w:sz w:val="21"/>
                <w:szCs w:val="21"/>
              </w:rPr>
            </w:pPr>
            <w:r w:rsidRPr="00A70F69">
              <w:rPr>
                <w:rFonts w:ascii="Arial" w:hAnsi="Arial" w:cs="Arial"/>
                <w:color w:val="6C6361"/>
                <w:sz w:val="21"/>
                <w:szCs w:val="21"/>
              </w:rPr>
              <w:t xml:space="preserve">Lutz-Christian WOLFF is Wei </w:t>
            </w:r>
            <w:proofErr w:type="spellStart"/>
            <w:r w:rsidRPr="00A70F69">
              <w:rPr>
                <w:rFonts w:ascii="Arial" w:hAnsi="Arial" w:cs="Arial"/>
                <w:color w:val="6C6361"/>
                <w:sz w:val="21"/>
                <w:szCs w:val="21"/>
              </w:rPr>
              <w:t>Lun</w:t>
            </w:r>
            <w:proofErr w:type="spellEnd"/>
            <w:r w:rsidRPr="00A70F69">
              <w:rPr>
                <w:rFonts w:ascii="Arial" w:hAnsi="Arial" w:cs="Arial"/>
                <w:color w:val="6C6361"/>
                <w:sz w:val="21"/>
                <w:szCs w:val="21"/>
              </w:rPr>
              <w:t xml:space="preserve"> Professor of Law and Dean of Graduate School at The Chinese University of Hong Kong.  He has been based in Hong Kong since 1999 after several years of studying and working in Shanghai, Taipei, Düsseldorf, Beijing, New York and Frankfurt.  Professor WOLFF specializes in Chinese and international business law, private international law and comparative law.  He is admitted as Solicitor (England &amp; Wales) and as German attorney at Law (</w:t>
            </w:r>
            <w:proofErr w:type="spellStart"/>
            <w:r w:rsidRPr="00A70F69">
              <w:rPr>
                <w:rFonts w:ascii="Arial" w:hAnsi="Arial" w:cs="Arial"/>
                <w:color w:val="6C6361"/>
                <w:sz w:val="21"/>
                <w:szCs w:val="21"/>
              </w:rPr>
              <w:t>Rechtsanwalt</w:t>
            </w:r>
            <w:proofErr w:type="spellEnd"/>
            <w:r w:rsidRPr="00A70F69">
              <w:rPr>
                <w:rFonts w:ascii="Arial" w:hAnsi="Arial" w:cs="Arial"/>
                <w:color w:val="6C6361"/>
                <w:sz w:val="21"/>
                <w:szCs w:val="21"/>
              </w:rPr>
              <w:t>).</w:t>
            </w:r>
          </w:p>
          <w:p w:rsidR="00074DB1" w:rsidRPr="00A70F69" w:rsidRDefault="00074DB1" w:rsidP="00D211D1">
            <w:pPr>
              <w:spacing w:line="276" w:lineRule="auto"/>
              <w:rPr>
                <w:rFonts w:ascii="Arial" w:hAnsi="Arial" w:cs="Arial"/>
                <w:color w:val="6C6361"/>
                <w:sz w:val="10"/>
                <w:szCs w:val="10"/>
              </w:rPr>
            </w:pPr>
          </w:p>
          <w:p w:rsidR="00074DB1" w:rsidRPr="00A70F69" w:rsidRDefault="00074DB1" w:rsidP="00D211D1">
            <w:pPr>
              <w:spacing w:line="276" w:lineRule="auto"/>
              <w:rPr>
                <w:rFonts w:ascii="Arial" w:hAnsi="Arial" w:cs="Arial"/>
                <w:color w:val="6C6361"/>
                <w:sz w:val="21"/>
                <w:szCs w:val="21"/>
              </w:rPr>
            </w:pPr>
            <w:r w:rsidRPr="00A70F69">
              <w:rPr>
                <w:rFonts w:ascii="Arial" w:hAnsi="Arial" w:cs="Arial"/>
                <w:color w:val="6C6361"/>
                <w:sz w:val="21"/>
                <w:szCs w:val="21"/>
              </w:rPr>
              <w:t xml:space="preserve">His most recent work includes: </w:t>
            </w:r>
            <w:r w:rsidRPr="00A70F69">
              <w:rPr>
                <w:rFonts w:ascii="Arial" w:hAnsi="Arial" w:cs="Arial"/>
                <w:i/>
                <w:color w:val="6C6361"/>
                <w:sz w:val="21"/>
                <w:szCs w:val="21"/>
              </w:rPr>
              <w:t>The Law of Cross-border Business Transactions - Concepts, Principles, Skills - 2nd ed.</w:t>
            </w:r>
            <w:r w:rsidRPr="00A70F69">
              <w:rPr>
                <w:rFonts w:ascii="Arial" w:hAnsi="Arial" w:cs="Arial"/>
                <w:color w:val="6C6361"/>
                <w:sz w:val="21"/>
                <w:szCs w:val="21"/>
              </w:rPr>
              <w:t xml:space="preserve"> (2017); </w:t>
            </w:r>
            <w:r w:rsidRPr="00A70F69">
              <w:rPr>
                <w:rFonts w:ascii="Arial" w:hAnsi="Arial" w:cs="Arial"/>
                <w:i/>
                <w:color w:val="6C6361"/>
                <w:sz w:val="21"/>
                <w:szCs w:val="21"/>
              </w:rPr>
              <w:t>Mergers &amp; Acquisitions in China - Law and Practice, 5th ed.</w:t>
            </w:r>
            <w:r w:rsidRPr="00A70F69">
              <w:rPr>
                <w:rFonts w:ascii="Arial" w:hAnsi="Arial" w:cs="Arial"/>
                <w:color w:val="6C6361"/>
                <w:sz w:val="21"/>
                <w:szCs w:val="21"/>
              </w:rPr>
              <w:t xml:space="preserve"> (2015); </w:t>
            </w:r>
            <w:r w:rsidRPr="00A70F69">
              <w:rPr>
                <w:rFonts w:ascii="Arial" w:hAnsi="Arial" w:cs="Arial"/>
                <w:i/>
                <w:color w:val="6C6361"/>
                <w:sz w:val="21"/>
                <w:szCs w:val="21"/>
              </w:rPr>
              <w:t>Flipped Classrooms for Legal Education</w:t>
            </w:r>
            <w:r w:rsidRPr="00A70F69">
              <w:rPr>
                <w:rFonts w:ascii="Arial" w:hAnsi="Arial" w:cs="Arial"/>
                <w:color w:val="6C6361"/>
                <w:sz w:val="21"/>
                <w:szCs w:val="21"/>
              </w:rPr>
              <w:t xml:space="preserve"> (with Jenny Chan) (2016); </w:t>
            </w:r>
            <w:r w:rsidRPr="00A70F69">
              <w:rPr>
                <w:rFonts w:ascii="Arial" w:hAnsi="Arial" w:cs="Arial"/>
                <w:i/>
                <w:color w:val="6C6361"/>
                <w:sz w:val="21"/>
                <w:szCs w:val="21"/>
              </w:rPr>
              <w:t xml:space="preserve">From a ‘Small Phrase with Big Ambitions’ to a Powerful Driver of Contract Law Unification? </w:t>
            </w:r>
            <w:r>
              <w:rPr>
                <w:rFonts w:ascii="Arial" w:hAnsi="Arial" w:cs="Arial"/>
                <w:i/>
                <w:color w:val="6C6361"/>
                <w:sz w:val="21"/>
                <w:szCs w:val="21"/>
              </w:rPr>
              <w:t>-</w:t>
            </w:r>
            <w:r w:rsidRPr="00A70F69">
              <w:rPr>
                <w:rFonts w:ascii="Arial" w:hAnsi="Arial" w:cs="Arial"/>
                <w:i/>
                <w:color w:val="6C6361"/>
                <w:sz w:val="21"/>
                <w:szCs w:val="21"/>
              </w:rPr>
              <w:t xml:space="preserve"> China’s Belt and Road Initiative and the CISG</w:t>
            </w:r>
            <w:r w:rsidRPr="00A70F69">
              <w:rPr>
                <w:rFonts w:ascii="Arial" w:hAnsi="Arial" w:cs="Arial"/>
                <w:color w:val="6C6361"/>
                <w:sz w:val="21"/>
                <w:szCs w:val="21"/>
              </w:rPr>
              <w:t xml:space="preserve"> -, 34 (Part 1) Journal of Contract Law (2017), p. 50.</w:t>
            </w:r>
          </w:p>
        </w:tc>
      </w:tr>
    </w:tbl>
    <w:p w:rsidR="00074DB1" w:rsidRDefault="00074DB1" w:rsidP="00074DB1">
      <w:pPr>
        <w:spacing w:line="276" w:lineRule="auto"/>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074DB1" w:rsidRPr="00A70F69" w:rsidTr="00D211D1">
        <w:trPr>
          <w:trHeight w:val="1315"/>
          <w:jc w:val="center"/>
        </w:trPr>
        <w:tc>
          <w:tcPr>
            <w:tcW w:w="10773" w:type="dxa"/>
            <w:gridSpan w:val="2"/>
            <w:tcBorders>
              <w:top w:val="nil"/>
              <w:bottom w:val="nil"/>
            </w:tcBorders>
            <w:shd w:val="clear" w:color="auto" w:fill="FFFFFF" w:themeFill="background1"/>
            <w:vAlign w:val="center"/>
          </w:tcPr>
          <w:p w:rsidR="00074DB1" w:rsidRPr="00A70F69" w:rsidRDefault="00074DB1" w:rsidP="00D211D1">
            <w:pPr>
              <w:spacing w:line="276" w:lineRule="auto"/>
              <w:rPr>
                <w:rFonts w:ascii="Arial" w:hAnsi="Arial" w:cs="Arial"/>
                <w:b/>
                <w:color w:val="524B48"/>
                <w:sz w:val="21"/>
                <w:szCs w:val="21"/>
              </w:rPr>
            </w:pPr>
            <w:r w:rsidRPr="00A70F69">
              <w:rPr>
                <w:rFonts w:ascii="Arial" w:hAnsi="Arial" w:cs="Arial"/>
                <w:color w:val="6C6361"/>
                <w:sz w:val="21"/>
                <w:szCs w:val="21"/>
              </w:rPr>
              <w:t xml:space="preserve">In </w:t>
            </w:r>
            <w:r w:rsidRPr="00A70F69">
              <w:rPr>
                <w:rFonts w:ascii="Arial" w:hAnsi="Arial" w:cs="Arial"/>
                <w:i/>
                <w:color w:val="6C6361"/>
                <w:sz w:val="21"/>
                <w:szCs w:val="21"/>
              </w:rPr>
              <w:t>OBG Ltd. v. Allan</w:t>
            </w:r>
            <w:r w:rsidRPr="00A70F69">
              <w:rPr>
                <w:rFonts w:ascii="Arial" w:hAnsi="Arial" w:cs="Arial"/>
                <w:color w:val="6C6361"/>
                <w:sz w:val="21"/>
                <w:szCs w:val="21"/>
              </w:rPr>
              <w:t xml:space="preserve"> the majority of the English Law Lords has rejected an extension of the tort of conversion to contractual rights on the basis that historically the tort of conversion is a tort against a person’s interest in a chattel.  The decision has been widely and controversially discussed.  This seminar explains the background, considers the judgment in a wider context and offers a new perspective by focusing on the property law features involved.</w:t>
            </w:r>
          </w:p>
        </w:tc>
      </w:tr>
      <w:tr w:rsidR="00074DB1" w:rsidRPr="00A70F69" w:rsidTr="00D211D1">
        <w:trPr>
          <w:trHeight w:val="397"/>
          <w:jc w:val="center"/>
        </w:trPr>
        <w:tc>
          <w:tcPr>
            <w:tcW w:w="10773" w:type="dxa"/>
            <w:gridSpan w:val="2"/>
            <w:tcBorders>
              <w:top w:val="nil"/>
              <w:bottom w:val="nil"/>
            </w:tcBorders>
            <w:shd w:val="clear" w:color="auto" w:fill="F0EBE1"/>
            <w:vAlign w:val="center"/>
          </w:tcPr>
          <w:p w:rsidR="00074DB1" w:rsidRPr="00A70F69" w:rsidRDefault="00074DB1" w:rsidP="00D211D1">
            <w:pPr>
              <w:jc w:val="left"/>
              <w:rPr>
                <w:rFonts w:ascii="Arial" w:hAnsi="Arial" w:cs="Arial"/>
                <w:b/>
                <w:color w:val="524B48"/>
                <w:sz w:val="21"/>
                <w:szCs w:val="21"/>
              </w:rPr>
            </w:pPr>
            <w:r w:rsidRPr="00A70F69">
              <w:rPr>
                <w:rFonts w:ascii="Arial" w:hAnsi="Arial" w:cs="Arial"/>
                <w:b/>
                <w:color w:val="524B48"/>
                <w:sz w:val="21"/>
                <w:szCs w:val="21"/>
              </w:rPr>
              <w:t>Special issues to be discussed are:</w:t>
            </w:r>
          </w:p>
        </w:tc>
      </w:tr>
      <w:tr w:rsidR="00074DB1" w:rsidRPr="00A70F69" w:rsidTr="00D211D1">
        <w:trPr>
          <w:trHeight w:val="2208"/>
          <w:jc w:val="center"/>
        </w:trPr>
        <w:tc>
          <w:tcPr>
            <w:tcW w:w="9072" w:type="dxa"/>
            <w:tcBorders>
              <w:top w:val="nil"/>
              <w:bottom w:val="nil"/>
              <w:right w:val="nil"/>
            </w:tcBorders>
            <w:shd w:val="clear" w:color="auto" w:fill="FFFFFF"/>
            <w:vAlign w:val="center"/>
          </w:tcPr>
          <w:p w:rsidR="00074DB1" w:rsidRPr="00A70F69" w:rsidRDefault="00074DB1" w:rsidP="00D211D1">
            <w:pPr>
              <w:pStyle w:val="ListParagraph"/>
              <w:numPr>
                <w:ilvl w:val="0"/>
                <w:numId w:val="2"/>
              </w:numPr>
              <w:spacing w:line="276" w:lineRule="auto"/>
              <w:rPr>
                <w:rFonts w:ascii="Arial" w:hAnsi="Arial" w:cs="Arial"/>
                <w:color w:val="6C6361"/>
                <w:sz w:val="21"/>
                <w:szCs w:val="21"/>
              </w:rPr>
            </w:pPr>
            <w:r w:rsidRPr="00A70F69">
              <w:rPr>
                <w:rFonts w:ascii="Arial" w:hAnsi="Arial" w:cs="Arial"/>
                <w:color w:val="6C6361"/>
                <w:sz w:val="21"/>
                <w:szCs w:val="21"/>
              </w:rPr>
              <w:t>Terminological and doctrinal basics of tort law, contract law and property law</w:t>
            </w:r>
          </w:p>
          <w:p w:rsidR="00074DB1" w:rsidRPr="00A70F69" w:rsidRDefault="00074DB1" w:rsidP="00D211D1">
            <w:pPr>
              <w:pStyle w:val="ListParagraph"/>
              <w:numPr>
                <w:ilvl w:val="0"/>
                <w:numId w:val="2"/>
              </w:numPr>
              <w:spacing w:line="276" w:lineRule="auto"/>
              <w:rPr>
                <w:rFonts w:ascii="Arial" w:hAnsi="Arial" w:cs="Arial"/>
                <w:color w:val="6C6361"/>
                <w:sz w:val="21"/>
                <w:szCs w:val="21"/>
              </w:rPr>
            </w:pPr>
            <w:r w:rsidRPr="00A70F69">
              <w:rPr>
                <w:rFonts w:ascii="Arial" w:hAnsi="Arial" w:cs="Arial"/>
                <w:color w:val="6C6361"/>
                <w:sz w:val="21"/>
                <w:szCs w:val="21"/>
              </w:rPr>
              <w:t>The interaction between contract law, tort law and property law</w:t>
            </w:r>
          </w:p>
          <w:p w:rsidR="00074DB1" w:rsidRPr="00A70F69" w:rsidRDefault="00074DB1" w:rsidP="00D211D1">
            <w:pPr>
              <w:pStyle w:val="ListParagraph"/>
              <w:numPr>
                <w:ilvl w:val="0"/>
                <w:numId w:val="2"/>
              </w:numPr>
              <w:spacing w:line="276" w:lineRule="auto"/>
              <w:rPr>
                <w:rFonts w:ascii="Arial" w:hAnsi="Arial" w:cs="Arial"/>
                <w:color w:val="6C6361"/>
                <w:sz w:val="21"/>
                <w:szCs w:val="21"/>
              </w:rPr>
            </w:pPr>
            <w:r w:rsidRPr="00A70F69">
              <w:rPr>
                <w:rFonts w:ascii="Arial" w:hAnsi="Arial" w:cs="Arial"/>
                <w:color w:val="6C6361"/>
                <w:sz w:val="21"/>
                <w:szCs w:val="21"/>
              </w:rPr>
              <w:t>The historical development of the tort of conversion</w:t>
            </w:r>
          </w:p>
          <w:p w:rsidR="00074DB1" w:rsidRPr="00A70F69" w:rsidRDefault="00074DB1" w:rsidP="00D211D1">
            <w:pPr>
              <w:pStyle w:val="ListParagraph"/>
              <w:numPr>
                <w:ilvl w:val="0"/>
                <w:numId w:val="2"/>
              </w:numPr>
              <w:spacing w:line="276" w:lineRule="auto"/>
              <w:rPr>
                <w:rFonts w:ascii="Arial" w:hAnsi="Arial" w:cs="Arial"/>
                <w:color w:val="6C6361"/>
                <w:sz w:val="21"/>
                <w:szCs w:val="21"/>
              </w:rPr>
            </w:pPr>
            <w:r w:rsidRPr="00A70F69">
              <w:rPr>
                <w:rFonts w:ascii="Arial" w:hAnsi="Arial" w:cs="Arial"/>
                <w:color w:val="6C6361"/>
                <w:sz w:val="21"/>
                <w:szCs w:val="21"/>
              </w:rPr>
              <w:t>The scope of protection of the  tort of conversion</w:t>
            </w:r>
          </w:p>
          <w:p w:rsidR="00074DB1" w:rsidRPr="00A70F69" w:rsidRDefault="00074DB1" w:rsidP="00D211D1">
            <w:pPr>
              <w:pStyle w:val="ListParagraph"/>
              <w:numPr>
                <w:ilvl w:val="0"/>
                <w:numId w:val="2"/>
              </w:numPr>
              <w:spacing w:line="276" w:lineRule="auto"/>
              <w:rPr>
                <w:rFonts w:ascii="Arial" w:hAnsi="Arial" w:cs="Arial"/>
                <w:i/>
                <w:color w:val="6C6361"/>
                <w:sz w:val="21"/>
                <w:szCs w:val="21"/>
              </w:rPr>
            </w:pPr>
            <w:r w:rsidRPr="00A70F69">
              <w:rPr>
                <w:rFonts w:ascii="Arial" w:hAnsi="Arial" w:cs="Arial"/>
                <w:i/>
                <w:color w:val="6C6361"/>
                <w:sz w:val="21"/>
                <w:szCs w:val="21"/>
              </w:rPr>
              <w:t>Lumley v.</w:t>
            </w:r>
            <w:r>
              <w:rPr>
                <w:rFonts w:ascii="Arial" w:hAnsi="Arial" w:cs="Arial"/>
                <w:i/>
                <w:color w:val="6C6361"/>
                <w:sz w:val="21"/>
                <w:szCs w:val="21"/>
              </w:rPr>
              <w:t xml:space="preserve"> </w:t>
            </w:r>
            <w:proofErr w:type="spellStart"/>
            <w:r>
              <w:rPr>
                <w:rFonts w:ascii="Arial" w:hAnsi="Arial" w:cs="Arial"/>
                <w:i/>
                <w:color w:val="6C6361"/>
                <w:sz w:val="21"/>
                <w:szCs w:val="21"/>
              </w:rPr>
              <w:t>Gye</w:t>
            </w:r>
            <w:proofErr w:type="spellEnd"/>
          </w:p>
          <w:p w:rsidR="00074DB1" w:rsidRPr="00A70F69" w:rsidRDefault="00074DB1" w:rsidP="00D211D1">
            <w:pPr>
              <w:pStyle w:val="ListParagraph"/>
              <w:numPr>
                <w:ilvl w:val="0"/>
                <w:numId w:val="2"/>
              </w:numPr>
              <w:spacing w:line="276" w:lineRule="auto"/>
              <w:rPr>
                <w:rFonts w:ascii="Arial" w:hAnsi="Arial" w:cs="Arial"/>
                <w:i/>
                <w:color w:val="6C6361"/>
                <w:sz w:val="21"/>
                <w:szCs w:val="21"/>
              </w:rPr>
            </w:pPr>
            <w:r w:rsidRPr="00A70F69">
              <w:rPr>
                <w:rFonts w:ascii="Arial" w:hAnsi="Arial" w:cs="Arial"/>
                <w:i/>
                <w:color w:val="6C6361"/>
                <w:sz w:val="21"/>
                <w:szCs w:val="21"/>
              </w:rPr>
              <w:t>OBG Ltd. v. Allan</w:t>
            </w:r>
          </w:p>
          <w:p w:rsidR="00074DB1" w:rsidRPr="00A70F69" w:rsidRDefault="00074DB1" w:rsidP="00D211D1">
            <w:pPr>
              <w:pStyle w:val="ListParagraph"/>
              <w:numPr>
                <w:ilvl w:val="0"/>
                <w:numId w:val="2"/>
              </w:numPr>
              <w:spacing w:line="276" w:lineRule="auto"/>
              <w:rPr>
                <w:rFonts w:ascii="Arial" w:hAnsi="Arial" w:cs="Arial"/>
                <w:color w:val="6C6361"/>
                <w:sz w:val="21"/>
                <w:szCs w:val="21"/>
              </w:rPr>
            </w:pPr>
            <w:r w:rsidRPr="00A70F69">
              <w:rPr>
                <w:rFonts w:ascii="Arial" w:hAnsi="Arial" w:cs="Arial"/>
                <w:color w:val="6C6361"/>
                <w:sz w:val="21"/>
                <w:szCs w:val="21"/>
              </w:rPr>
              <w:t>Practical implications of the re-assessment of tort of conversion</w:t>
            </w:r>
          </w:p>
        </w:tc>
        <w:tc>
          <w:tcPr>
            <w:tcW w:w="1701" w:type="dxa"/>
            <w:tcBorders>
              <w:top w:val="nil"/>
              <w:left w:val="nil"/>
              <w:bottom w:val="nil"/>
            </w:tcBorders>
            <w:shd w:val="clear" w:color="auto" w:fill="FFFFFF" w:themeFill="background1"/>
            <w:vAlign w:val="center"/>
          </w:tcPr>
          <w:p w:rsidR="00074DB1" w:rsidRPr="00A70F69" w:rsidRDefault="00074DB1" w:rsidP="00D211D1">
            <w:pPr>
              <w:jc w:val="center"/>
              <w:rPr>
                <w:rFonts w:ascii="Arial" w:hAnsi="Arial" w:cs="Arial"/>
                <w:color w:val="6C6361"/>
                <w:sz w:val="21"/>
                <w:szCs w:val="21"/>
              </w:rPr>
            </w:pPr>
          </w:p>
          <w:p w:rsidR="00074DB1" w:rsidRPr="00A70F69" w:rsidRDefault="00074DB1" w:rsidP="00D211D1">
            <w:pPr>
              <w:jc w:val="center"/>
              <w:rPr>
                <w:rFonts w:ascii="Arial" w:hAnsi="Arial" w:cs="Arial"/>
                <w:color w:val="6C6361"/>
                <w:sz w:val="21"/>
                <w:szCs w:val="21"/>
              </w:rPr>
            </w:pPr>
            <w:r w:rsidRPr="008210C3">
              <w:rPr>
                <w:rFonts w:ascii="Arial" w:hAnsi="Arial" w:cs="Arial"/>
                <w:noProof/>
                <w:color w:val="6C6361"/>
                <w:sz w:val="21"/>
                <w:szCs w:val="21"/>
              </w:rPr>
              <w:drawing>
                <wp:inline distT="0" distB="0" distL="0" distR="0" wp14:anchorId="063E8592" wp14:editId="2796D8EE">
                  <wp:extent cx="892800" cy="10188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bl>
    <w:p w:rsidR="00074DB1" w:rsidRPr="00074DB1" w:rsidRDefault="00074DB1" w:rsidP="0045364E">
      <w:pPr>
        <w:spacing w:line="276" w:lineRule="auto"/>
        <w:rPr>
          <w:rFonts w:ascii="Arial" w:hAnsi="Arial" w:cs="Arial"/>
          <w:sz w:val="20"/>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355"/>
        <w:gridCol w:w="1330"/>
      </w:tblGrid>
      <w:tr w:rsidR="00074DB1" w:rsidRPr="00320F79" w:rsidTr="00414E17">
        <w:trPr>
          <w:trHeight w:val="340"/>
          <w:jc w:val="center"/>
        </w:trPr>
        <w:tc>
          <w:tcPr>
            <w:tcW w:w="1701" w:type="dxa"/>
            <w:tcBorders>
              <w:top w:val="nil"/>
              <w:left w:val="nil"/>
              <w:bottom w:val="single" w:sz="12" w:space="0" w:color="FFFFFF"/>
            </w:tcBorders>
            <w:shd w:val="clear" w:color="auto" w:fill="F0EBE1"/>
            <w:vAlign w:val="center"/>
          </w:tcPr>
          <w:p w:rsidR="00074DB1" w:rsidRPr="002343EF" w:rsidRDefault="00074DB1" w:rsidP="00074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074DB1" w:rsidRPr="002343EF" w:rsidRDefault="00074DB1" w:rsidP="00074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EVT000000246</w:t>
            </w:r>
          </w:p>
        </w:tc>
        <w:tc>
          <w:tcPr>
            <w:tcW w:w="1701" w:type="dxa"/>
            <w:tcBorders>
              <w:top w:val="nil"/>
              <w:bottom w:val="single" w:sz="12" w:space="0" w:color="FFFFFF"/>
            </w:tcBorders>
            <w:shd w:val="clear" w:color="auto" w:fill="F0EBE1"/>
            <w:vAlign w:val="center"/>
          </w:tcPr>
          <w:p w:rsidR="00074DB1" w:rsidRPr="002343EF" w:rsidRDefault="00074DB1" w:rsidP="00074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074DB1" w:rsidRPr="002343EF" w:rsidRDefault="00074DB1" w:rsidP="00074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074DB1" w:rsidRPr="00320F79" w:rsidTr="00414E17">
        <w:trPr>
          <w:trHeight w:val="340"/>
          <w:jc w:val="center"/>
        </w:trPr>
        <w:tc>
          <w:tcPr>
            <w:tcW w:w="1701" w:type="dxa"/>
            <w:tcBorders>
              <w:top w:val="single" w:sz="12" w:space="0" w:color="FFFFFF"/>
              <w:left w:val="nil"/>
              <w:bottom w:val="single" w:sz="12" w:space="0" w:color="FFFFFF"/>
            </w:tcBorders>
            <w:shd w:val="clear" w:color="auto" w:fill="F0EBE1"/>
            <w:vAlign w:val="center"/>
          </w:tcPr>
          <w:p w:rsidR="00074DB1" w:rsidRPr="002343EF" w:rsidRDefault="00074DB1" w:rsidP="00074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074DB1" w:rsidRPr="006B70C1" w:rsidRDefault="00074DB1" w:rsidP="00074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19 October 2018 (Friday)</w:t>
            </w:r>
          </w:p>
        </w:tc>
        <w:tc>
          <w:tcPr>
            <w:tcW w:w="1701" w:type="dxa"/>
            <w:tcBorders>
              <w:top w:val="single" w:sz="12" w:space="0" w:color="FFFFFF"/>
              <w:bottom w:val="single" w:sz="12" w:space="0" w:color="FFFFFF"/>
            </w:tcBorders>
            <w:shd w:val="clear" w:color="auto" w:fill="F0EBE1"/>
            <w:vAlign w:val="center"/>
          </w:tcPr>
          <w:p w:rsidR="00074DB1" w:rsidRPr="002343EF" w:rsidRDefault="00074DB1" w:rsidP="00074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074DB1" w:rsidRPr="002343EF" w:rsidRDefault="00074DB1" w:rsidP="00074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074DB1" w:rsidRPr="00320F79" w:rsidTr="00414E17">
        <w:trPr>
          <w:trHeight w:val="340"/>
          <w:jc w:val="center"/>
        </w:trPr>
        <w:tc>
          <w:tcPr>
            <w:tcW w:w="1701" w:type="dxa"/>
            <w:tcBorders>
              <w:top w:val="single" w:sz="12" w:space="0" w:color="FFFFFF"/>
              <w:left w:val="nil"/>
              <w:bottom w:val="single" w:sz="12" w:space="0" w:color="FFFFFF"/>
            </w:tcBorders>
            <w:shd w:val="clear" w:color="auto" w:fill="F0EBE1"/>
            <w:vAlign w:val="center"/>
          </w:tcPr>
          <w:p w:rsidR="00074DB1" w:rsidRPr="002343EF" w:rsidRDefault="00074DB1" w:rsidP="00074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074DB1" w:rsidRDefault="00074DB1" w:rsidP="00074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14:30 - 17:45</w:t>
            </w:r>
          </w:p>
          <w:p w:rsidR="00074DB1" w:rsidRPr="00EC7ADB" w:rsidRDefault="00074DB1" w:rsidP="00074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Reception starts at 14</w:t>
            </w:r>
            <w:r w:rsidRPr="00EC7ADB">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074DB1" w:rsidRPr="002343EF" w:rsidRDefault="00074DB1" w:rsidP="00074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074DB1" w:rsidRPr="006B70C1" w:rsidRDefault="00074DB1" w:rsidP="00074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tc>
      </w:tr>
      <w:tr w:rsidR="0045364E" w:rsidRPr="00320F79" w:rsidTr="00414E17">
        <w:trPr>
          <w:trHeight w:val="1247"/>
          <w:jc w:val="center"/>
        </w:trPr>
        <w:tc>
          <w:tcPr>
            <w:tcW w:w="1701" w:type="dxa"/>
            <w:tcBorders>
              <w:top w:val="single" w:sz="12" w:space="0" w:color="FFFFFF"/>
              <w:left w:val="nil"/>
              <w:bottom w:val="nil"/>
            </w:tcBorders>
            <w:shd w:val="clear" w:color="auto" w:fill="F0EBE1"/>
            <w:vAlign w:val="center"/>
          </w:tcPr>
          <w:p w:rsidR="0045364E" w:rsidRPr="00320F79" w:rsidRDefault="0045364E" w:rsidP="00414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45364E" w:rsidRPr="00320F79" w:rsidRDefault="0045364E" w:rsidP="00414E17">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45364E" w:rsidRPr="00320F79" w:rsidRDefault="0045364E" w:rsidP="00414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45364E" w:rsidRPr="00320F79" w:rsidRDefault="0045364E" w:rsidP="00414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45364E" w:rsidRPr="00320F79" w:rsidRDefault="0045364E" w:rsidP="00414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45364E" w:rsidRDefault="0045364E" w:rsidP="00414E17">
            <w:pPr>
              <w:jc w:val="right"/>
              <w:rPr>
                <w:rFonts w:ascii="Arial" w:hAnsi="Arial" w:cs="Arial"/>
                <w:b/>
                <w:color w:val="6C6361"/>
                <w:sz w:val="20"/>
                <w:szCs w:val="20"/>
              </w:rPr>
            </w:pPr>
          </w:p>
          <w:p w:rsidR="0045364E" w:rsidRDefault="0045364E" w:rsidP="00414E17">
            <w:pPr>
              <w:jc w:val="right"/>
              <w:rPr>
                <w:rFonts w:ascii="Arial" w:hAnsi="Arial" w:cs="Arial"/>
                <w:b/>
                <w:color w:val="6C6361"/>
                <w:sz w:val="20"/>
                <w:szCs w:val="20"/>
              </w:rPr>
            </w:pPr>
          </w:p>
          <w:p w:rsidR="0045364E" w:rsidRPr="00320F79" w:rsidRDefault="0045364E" w:rsidP="00414E17">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70F1C47B" wp14:editId="060B969A">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45364E" w:rsidRPr="00E2201B" w:rsidRDefault="0045364E" w:rsidP="00414E17">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45364E" w:rsidRPr="003A2A41" w:rsidRDefault="0045364E" w:rsidP="00414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45364E" w:rsidRPr="003A2A41" w:rsidRDefault="0045364E" w:rsidP="00414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55" w:type="dxa"/>
            <w:tcBorders>
              <w:top w:val="single" w:sz="12" w:space="0" w:color="F0EBE1"/>
              <w:bottom w:val="nil"/>
              <w:right w:val="nil"/>
            </w:tcBorders>
            <w:shd w:val="clear" w:color="auto" w:fill="FFFFFF"/>
            <w:vAlign w:val="center"/>
          </w:tcPr>
          <w:p w:rsidR="0045364E" w:rsidRPr="003A2A41" w:rsidRDefault="0045364E" w:rsidP="00414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45364E" w:rsidRPr="003A2A41" w:rsidRDefault="0045364E" w:rsidP="00414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330" w:type="dxa"/>
            <w:tcBorders>
              <w:top w:val="nil"/>
              <w:left w:val="nil"/>
              <w:bottom w:val="nil"/>
              <w:right w:val="nil"/>
            </w:tcBorders>
            <w:shd w:val="clear" w:color="auto" w:fill="FFFFFF"/>
            <w:vAlign w:val="center"/>
          </w:tcPr>
          <w:p w:rsidR="0045364E" w:rsidRPr="00156567" w:rsidRDefault="0045364E" w:rsidP="00414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059D456D" wp14:editId="7D7D11E7">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45364E" w:rsidRDefault="00214BC6" w:rsidP="0045364E">
      <w:pPr>
        <w:rPr>
          <w:sz w:val="2"/>
          <w:szCs w:val="2"/>
        </w:rPr>
      </w:pPr>
    </w:p>
    <w:sectPr w:rsidR="00214BC6" w:rsidRPr="0045364E"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4C00" w:rsidRDefault="00364C00" w:rsidP="00546556">
      <w:r>
        <w:separator/>
      </w:r>
    </w:p>
  </w:endnote>
  <w:endnote w:type="continuationSeparator" w:id="0">
    <w:p w:rsidR="00364C00" w:rsidRDefault="00364C00"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4C00" w:rsidRDefault="00364C00" w:rsidP="00546556">
      <w:r>
        <w:separator/>
      </w:r>
    </w:p>
  </w:footnote>
  <w:footnote w:type="continuationSeparator" w:id="0">
    <w:p w:rsidR="00364C00" w:rsidRDefault="00364C00"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1"/>
  <w:displayBackgroundShape/>
  <w:gutterAtTop/>
  <w:proofState w:spelling="clean" w:grammar="clean"/>
  <w:documentProtection w:edit="forms" w:enforcement="1" w:cryptProviderType="rsaAES" w:cryptAlgorithmClass="hash" w:cryptAlgorithmType="typeAny" w:cryptAlgorithmSid="14" w:cryptSpinCount="100000" w:hash="o6fKLrHPS5AGTRl5hFqyWdUACMUthBfmB6B0td3nm/QU4wM2UoEtvCn1x84cMukkeZAMaxCNxmlKqvP3ouQyfw==" w:salt="TTRweLap8WFaKPNeV1nVV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4DB1"/>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1D0"/>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C00"/>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64E"/>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1E0"/>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405"/>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370F"/>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34/"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46/"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36DAE2-7794-4C58-B326-C4A3F7A5C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373</Words>
  <Characters>2128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CPD Course, CPT Course: PRC Investment Law 2016</vt:lpstr>
    </vt:vector>
  </TitlesOfParts>
  <Manager>Tyrone Tsang</Manager>
  <Company>The Profectional Company Limited</Company>
  <LinksUpToDate>false</LinksUpToDate>
  <CharactersWithSpaces>2497</CharactersWithSpaces>
  <SharedDoc>false</SharedDoc>
  <HyperlinkBase>http://download.profectional.com/events/EVT000000246.docx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The Tort of Conversion: OBG Ltd. v. Allan Revisited</dc:title>
  <dc:subject>CPD Course: The Tort of Conversion: OBG Ltd. v. Allan Revisited</dc:subject>
  <dc:creator>The Profectional Company Limited</dc:creator>
  <cp:keywords>Profectional; Kornerstone; CPD; CPT; CLE; CE; RME; Lutz-Christian Wolff; Wei Lun Professor of Law; Dean; Graduate School; The Chinese University of Hong Kong</cp:keywords>
  <cp:lastModifiedBy>Tyrone Tsang</cp:lastModifiedBy>
  <cp:revision>14</cp:revision>
  <cp:lastPrinted>2018-10-22T05:05:00Z</cp:lastPrinted>
  <dcterms:created xsi:type="dcterms:W3CDTF">2015-08-21T08:33:00Z</dcterms:created>
  <dcterms:modified xsi:type="dcterms:W3CDTF">2018-10-22T05:05:00Z</dcterms:modified>
</cp:coreProperties>
</file>