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323D" w:rsidRPr="00A7323D" w:rsidRDefault="00A7323D" w:rsidP="00A7323D">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A7323D" w:rsidRPr="00523A64" w:rsidTr="00507B26">
        <w:trPr>
          <w:trHeight w:val="3119"/>
          <w:jc w:val="center"/>
        </w:trPr>
        <w:tc>
          <w:tcPr>
            <w:tcW w:w="4820" w:type="dxa"/>
            <w:shd w:val="clear" w:color="auto" w:fill="FFFFFF"/>
            <w:vAlign w:val="center"/>
          </w:tcPr>
          <w:p w:rsidR="00A7323D" w:rsidRPr="001A3018" w:rsidRDefault="00A7323D" w:rsidP="00507B26">
            <w:pPr>
              <w:jc w:val="center"/>
              <w:rPr>
                <w:rFonts w:ascii="Arial" w:hAnsi="Arial" w:cs="Arial"/>
                <w:b/>
                <w:bCs/>
                <w:color w:val="524B48"/>
                <w:sz w:val="4"/>
                <w:szCs w:val="4"/>
              </w:rPr>
            </w:pPr>
          </w:p>
          <w:p w:rsidR="00A7323D" w:rsidRDefault="00A7323D" w:rsidP="00507B26">
            <w:pPr>
              <w:jc w:val="center"/>
              <w:rPr>
                <w:rStyle w:val="Hyperlink"/>
                <w:rFonts w:ascii="Arial" w:hAnsi="Arial" w:cs="Arial"/>
                <w:b/>
                <w:bCs/>
                <w:color w:val="524B48"/>
                <w:sz w:val="32"/>
                <w:szCs w:val="32"/>
                <w:u w:val="none"/>
              </w:rPr>
            </w:pPr>
            <w:r w:rsidRPr="00CF685C">
              <w:fldChar w:fldCharType="begin"/>
            </w:r>
            <w:r>
              <w:instrText>HYPERLINK "http://cpd.hk/evt000000250/"</w:instrText>
            </w:r>
            <w:r w:rsidRPr="00CF685C">
              <w:fldChar w:fldCharType="separate"/>
            </w:r>
            <w:r>
              <w:rPr>
                <w:rStyle w:val="Hyperlink"/>
                <w:rFonts w:ascii="Arial" w:hAnsi="Arial" w:cs="Arial"/>
                <w:b/>
                <w:bCs/>
                <w:color w:val="524B48"/>
                <w:sz w:val="32"/>
                <w:szCs w:val="32"/>
                <w:u w:val="none"/>
              </w:rPr>
              <w:t>Informal Interests</w:t>
            </w:r>
          </w:p>
          <w:p w:rsidR="00A7323D" w:rsidRDefault="00A7323D" w:rsidP="00507B26">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in Property (1):</w:t>
            </w:r>
          </w:p>
          <w:p w:rsidR="00A7323D" w:rsidRDefault="00A7323D" w:rsidP="00507B26">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Introduction to Implied Trusts</w:t>
            </w:r>
          </w:p>
          <w:p w:rsidR="00A7323D" w:rsidRDefault="00A7323D" w:rsidP="00507B26">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 Resulting Trusts and</w:t>
            </w:r>
          </w:p>
          <w:p w:rsidR="00A7323D" w:rsidRDefault="00A7323D" w:rsidP="00507B26">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Constructive Trusts</w:t>
            </w:r>
          </w:p>
          <w:p w:rsidR="00A7323D" w:rsidRPr="00C65AFD" w:rsidRDefault="00A7323D" w:rsidP="00507B26">
            <w:pPr>
              <w:jc w:val="center"/>
              <w:rPr>
                <w:rFonts w:ascii="Arial" w:hAnsi="Arial" w:cs="Arial"/>
                <w:b/>
                <w:bCs/>
                <w:sz w:val="24"/>
                <w:szCs w:val="24"/>
              </w:rPr>
            </w:pPr>
            <w:r>
              <w:rPr>
                <w:rStyle w:val="Hyperlink"/>
                <w:rFonts w:ascii="Arial" w:hAnsi="Arial" w:cs="Arial"/>
                <w:b/>
                <w:bCs/>
                <w:color w:val="524B48"/>
                <w:sz w:val="32"/>
                <w:szCs w:val="32"/>
                <w:u w:val="none"/>
              </w:rPr>
              <w:t xml:space="preserve"> </w:t>
            </w:r>
            <w:r w:rsidRPr="00CF685C">
              <w:rPr>
                <w:rStyle w:val="Hyperlink"/>
                <w:rFonts w:ascii="Arial" w:hAnsi="Arial" w:cs="Arial"/>
                <w:b/>
                <w:bCs/>
                <w:color w:val="524B48"/>
                <w:sz w:val="32"/>
                <w:szCs w:val="32"/>
                <w:u w:val="none"/>
              </w:rPr>
              <w:fldChar w:fldCharType="end"/>
            </w:r>
          </w:p>
          <w:p w:rsidR="00A7323D" w:rsidRPr="00C65AFD" w:rsidRDefault="00A7323D" w:rsidP="00507B26">
            <w:pPr>
              <w:jc w:val="center"/>
              <w:rPr>
                <w:rFonts w:ascii="Arial" w:hAnsi="Arial" w:cs="Arial"/>
                <w:i/>
                <w:color w:val="6C6361"/>
                <w:sz w:val="24"/>
                <w:szCs w:val="24"/>
              </w:rPr>
            </w:pPr>
            <w:r w:rsidRPr="00C65AFD">
              <w:rPr>
                <w:rFonts w:ascii="Arial" w:hAnsi="Arial" w:cs="Arial"/>
                <w:i/>
                <w:color w:val="6C6361"/>
                <w:sz w:val="24"/>
                <w:szCs w:val="24"/>
              </w:rPr>
              <w:t>by</w:t>
            </w:r>
          </w:p>
          <w:p w:rsidR="00A7323D" w:rsidRDefault="00A7323D" w:rsidP="00507B26">
            <w:pPr>
              <w:jc w:val="center"/>
              <w:rPr>
                <w:rStyle w:val="Hyperlink"/>
                <w:rFonts w:ascii="Arial" w:hAnsi="Arial" w:cs="Arial"/>
                <w:color w:val="6C6361"/>
                <w:sz w:val="24"/>
                <w:szCs w:val="24"/>
                <w:u w:val="none"/>
              </w:rPr>
            </w:pPr>
            <w:hyperlink r:id="rId8" w:history="1">
              <w:r>
                <w:rPr>
                  <w:rStyle w:val="Hyperlink"/>
                  <w:rFonts w:ascii="Arial" w:hAnsi="Arial" w:cs="Arial"/>
                  <w:color w:val="6C6361"/>
                  <w:sz w:val="24"/>
                  <w:szCs w:val="24"/>
                  <w:u w:val="none"/>
                </w:rPr>
                <w:t>Prof. Steven Gallagher</w:t>
              </w:r>
            </w:hyperlink>
            <w:r>
              <w:rPr>
                <w:rStyle w:val="Hyperlink"/>
                <w:rFonts w:ascii="Arial" w:hAnsi="Arial" w:cs="Arial"/>
                <w:color w:val="6C6361"/>
                <w:sz w:val="24"/>
                <w:szCs w:val="24"/>
                <w:u w:val="none"/>
              </w:rPr>
              <w:t>,</w:t>
            </w:r>
          </w:p>
          <w:p w:rsidR="00A7323D" w:rsidRDefault="00A7323D" w:rsidP="00507B26">
            <w:pPr>
              <w:jc w:val="center"/>
              <w:rPr>
                <w:rFonts w:ascii="Arial" w:hAnsi="Arial" w:cs="Arial"/>
                <w:color w:val="6C6361"/>
                <w:sz w:val="24"/>
                <w:szCs w:val="24"/>
              </w:rPr>
            </w:pPr>
            <w:r w:rsidRPr="00BB7007">
              <w:rPr>
                <w:rFonts w:ascii="Arial" w:hAnsi="Arial" w:cs="Arial"/>
                <w:color w:val="6C6361"/>
                <w:sz w:val="24"/>
                <w:szCs w:val="24"/>
              </w:rPr>
              <w:t>Associat</w:t>
            </w:r>
            <w:r>
              <w:rPr>
                <w:rFonts w:ascii="Arial" w:hAnsi="Arial" w:cs="Arial"/>
                <w:color w:val="6C6361"/>
                <w:sz w:val="24"/>
                <w:szCs w:val="24"/>
              </w:rPr>
              <w:t>e Professor of Practice in Law,</w:t>
            </w:r>
          </w:p>
          <w:p w:rsidR="00A7323D" w:rsidRDefault="00A7323D" w:rsidP="00507B26">
            <w:pPr>
              <w:jc w:val="center"/>
              <w:rPr>
                <w:rFonts w:ascii="Arial" w:hAnsi="Arial" w:cs="Arial"/>
                <w:color w:val="6C6361"/>
                <w:sz w:val="24"/>
                <w:szCs w:val="24"/>
              </w:rPr>
            </w:pPr>
            <w:r w:rsidRPr="00BB7007">
              <w:rPr>
                <w:rFonts w:ascii="Arial" w:hAnsi="Arial" w:cs="Arial"/>
                <w:color w:val="6C6361"/>
                <w:sz w:val="24"/>
                <w:szCs w:val="24"/>
              </w:rPr>
              <w:t>Associ</w:t>
            </w:r>
            <w:r>
              <w:rPr>
                <w:rFonts w:ascii="Arial" w:hAnsi="Arial" w:cs="Arial"/>
                <w:color w:val="6C6361"/>
                <w:sz w:val="24"/>
                <w:szCs w:val="24"/>
              </w:rPr>
              <w:t>ate Dean (Teaching &amp; Learning),</w:t>
            </w:r>
          </w:p>
          <w:p w:rsidR="00A7323D" w:rsidRDefault="00A7323D" w:rsidP="00507B26">
            <w:pPr>
              <w:jc w:val="center"/>
              <w:rPr>
                <w:rFonts w:ascii="Arial" w:hAnsi="Arial" w:cs="Arial"/>
                <w:color w:val="6C6361"/>
                <w:sz w:val="24"/>
                <w:szCs w:val="24"/>
              </w:rPr>
            </w:pPr>
            <w:r>
              <w:rPr>
                <w:rFonts w:ascii="Arial" w:hAnsi="Arial" w:cs="Arial"/>
                <w:color w:val="6C6361"/>
                <w:sz w:val="24"/>
                <w:szCs w:val="24"/>
              </w:rPr>
              <w:t>The Faculty of Law,</w:t>
            </w:r>
          </w:p>
          <w:p w:rsidR="00A7323D" w:rsidRDefault="00A7323D" w:rsidP="00507B26">
            <w:pPr>
              <w:jc w:val="center"/>
              <w:rPr>
                <w:rFonts w:ascii="Arial" w:hAnsi="Arial" w:cs="Arial"/>
                <w:color w:val="6C6361"/>
                <w:sz w:val="24"/>
                <w:szCs w:val="24"/>
              </w:rPr>
            </w:pPr>
            <w:r w:rsidRPr="00BB7007">
              <w:rPr>
                <w:rFonts w:ascii="Arial" w:hAnsi="Arial" w:cs="Arial"/>
                <w:color w:val="6C6361"/>
                <w:sz w:val="24"/>
                <w:szCs w:val="24"/>
              </w:rPr>
              <w:t>The Chinese University of Hong Kong</w:t>
            </w:r>
          </w:p>
          <w:p w:rsidR="00A7323D" w:rsidRPr="00D87ECF" w:rsidRDefault="00A7323D" w:rsidP="00507B26">
            <w:pPr>
              <w:jc w:val="center"/>
              <w:rPr>
                <w:rFonts w:ascii="Arial" w:hAnsi="Arial" w:cs="Arial"/>
                <w:color w:val="6C6361"/>
                <w:sz w:val="8"/>
                <w:szCs w:val="8"/>
              </w:rPr>
            </w:pPr>
          </w:p>
        </w:tc>
        <w:tc>
          <w:tcPr>
            <w:tcW w:w="5954" w:type="dxa"/>
            <w:shd w:val="clear" w:color="auto" w:fill="FFFFFF"/>
            <w:vAlign w:val="center"/>
          </w:tcPr>
          <w:p w:rsidR="00A7323D" w:rsidRPr="00D50772" w:rsidRDefault="00A7323D" w:rsidP="00507B26">
            <w:pPr>
              <w:spacing w:line="276" w:lineRule="auto"/>
              <w:jc w:val="center"/>
              <w:rPr>
                <w:rFonts w:ascii="Arial" w:eastAsia="Times New Roman" w:hAnsi="Arial" w:cs="Arial"/>
                <w:noProof/>
                <w:sz w:val="20"/>
                <w:szCs w:val="20"/>
              </w:rPr>
            </w:pPr>
            <w:r w:rsidRPr="00435A79">
              <w:rPr>
                <w:rStyle w:val="Hyperlink"/>
                <w:rFonts w:ascii="Arial" w:hAnsi="Arial" w:cs="Arial"/>
                <w:b/>
                <w:bCs/>
                <w:noProof/>
                <w:color w:val="524B48"/>
                <w:sz w:val="32"/>
                <w:szCs w:val="32"/>
                <w:u w:val="none"/>
              </w:rPr>
              <w:drawing>
                <wp:anchor distT="0" distB="0" distL="114300" distR="114300" simplePos="0" relativeHeight="251659264" behindDoc="0" locked="0" layoutInCell="1" allowOverlap="1" wp14:anchorId="2AF4DABB" wp14:editId="0E7804BD">
                  <wp:simplePos x="0" y="0"/>
                  <wp:positionH relativeFrom="column">
                    <wp:posOffset>3175635</wp:posOffset>
                  </wp:positionH>
                  <wp:positionV relativeFrom="paragraph">
                    <wp:posOffset>-306705</wp:posOffset>
                  </wp:positionV>
                  <wp:extent cx="539750" cy="546735"/>
                  <wp:effectExtent l="0" t="0" r="0" b="5715"/>
                  <wp:wrapNone/>
                  <wp:docPr id="12" name="Picture 1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2D5A811B" wp14:editId="0417B65D">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A7323D" w:rsidRPr="0061186A" w:rsidRDefault="00A7323D" w:rsidP="00A7323D">
      <w:pPr>
        <w:spacing w:line="276" w:lineRule="auto"/>
        <w:jc w:val="left"/>
        <w:rPr>
          <w:rFonts w:ascii="Arial" w:hAnsi="Arial" w:cs="Arial"/>
          <w:sz w:val="20"/>
          <w:szCs w:val="18"/>
        </w:rPr>
      </w:pPr>
    </w:p>
    <w:tbl>
      <w:tblPr>
        <w:tblW w:w="10773" w:type="dxa"/>
        <w:jc w:val="center"/>
        <w:tblLook w:val="04A0" w:firstRow="1" w:lastRow="0" w:firstColumn="1" w:lastColumn="0" w:noHBand="0" w:noVBand="1"/>
      </w:tblPr>
      <w:tblGrid>
        <w:gridCol w:w="1985"/>
        <w:gridCol w:w="8788"/>
      </w:tblGrid>
      <w:tr w:rsidR="00A7323D" w:rsidRPr="000F3FFC" w:rsidTr="00507B26">
        <w:trPr>
          <w:trHeight w:val="2515"/>
          <w:jc w:val="center"/>
        </w:trPr>
        <w:tc>
          <w:tcPr>
            <w:tcW w:w="1985" w:type="dxa"/>
            <w:shd w:val="clear" w:color="auto" w:fill="FFFFFF"/>
            <w:vAlign w:val="center"/>
          </w:tcPr>
          <w:p w:rsidR="00A7323D" w:rsidRPr="000F3FFC" w:rsidRDefault="00A7323D" w:rsidP="00507B26">
            <w:pPr>
              <w:spacing w:line="276" w:lineRule="auto"/>
              <w:jc w:val="center"/>
              <w:rPr>
                <w:rFonts w:ascii="Arial" w:hAnsi="Arial" w:cs="Arial"/>
                <w:sz w:val="20"/>
                <w:szCs w:val="20"/>
              </w:rPr>
            </w:pPr>
            <w:r w:rsidRPr="000F3FFC">
              <w:rPr>
                <w:rFonts w:ascii="Arial" w:hAnsi="Arial" w:cs="Arial"/>
                <w:noProof/>
                <w:sz w:val="20"/>
                <w:szCs w:val="20"/>
              </w:rPr>
              <w:drawing>
                <wp:inline distT="0" distB="0" distL="0" distR="0" wp14:anchorId="1CBBC130" wp14:editId="69EF1924">
                  <wp:extent cx="1080135" cy="1440180"/>
                  <wp:effectExtent l="0" t="0" r="5715" b="7620"/>
                  <wp:docPr id="9"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A7323D" w:rsidRPr="001900E2" w:rsidRDefault="00A7323D" w:rsidP="00A7323D">
            <w:pPr>
              <w:pStyle w:val="NormalWeb"/>
              <w:jc w:val="both"/>
              <w:rPr>
                <w:rFonts w:ascii="Arial" w:hAnsi="Arial" w:cs="Arial"/>
                <w:color w:val="6C6361"/>
                <w:sz w:val="21"/>
                <w:szCs w:val="21"/>
              </w:rPr>
            </w:pPr>
            <w:r w:rsidRPr="001900E2">
              <w:rPr>
                <w:rFonts w:ascii="Arial" w:hAnsi="Arial" w:cs="Arial"/>
                <w:color w:val="6C6361"/>
                <w:sz w:val="21"/>
                <w:szCs w:val="21"/>
              </w:rPr>
              <w:t xml:space="preserve">Steven Gallagher was awarded a first class LL.B. He was called to the Bar of England and Wales in 2006. Steven has taught Equity and Trusts, Land Law and Company Law to undergraduates and International Corporate Liquidation and International Corporate Governance to postgraduates in England and Hong Kong. Steven teaches the Equity and Trusts courses for undergraduate students, the Principles of Equity and Trusts course on the Juris Doctor course and, in 2013, introduced the Principles of Cultural Heritage Law course to the LLM </w:t>
            </w:r>
            <w:proofErr w:type="spellStart"/>
            <w:r w:rsidRPr="001900E2">
              <w:rPr>
                <w:rFonts w:ascii="Arial" w:hAnsi="Arial" w:cs="Arial"/>
                <w:color w:val="6C6361"/>
                <w:sz w:val="21"/>
                <w:szCs w:val="21"/>
              </w:rPr>
              <w:t>programme</w:t>
            </w:r>
            <w:proofErr w:type="spellEnd"/>
            <w:r w:rsidRPr="001900E2">
              <w:rPr>
                <w:rFonts w:ascii="Arial" w:hAnsi="Arial" w:cs="Arial"/>
                <w:color w:val="6C6361"/>
                <w:sz w:val="21"/>
                <w:szCs w:val="21"/>
              </w:rPr>
              <w:t xml:space="preserve"> at the Chinese University of Hong Kong. Steven has presented continuing professional development courses for solicitors in Hong Kong on many topics associated with equity. Steven’s research interests include equity and the law of trusts, cultural heritage law and legal history.</w:t>
            </w:r>
          </w:p>
        </w:tc>
      </w:tr>
    </w:tbl>
    <w:p w:rsidR="00A7323D" w:rsidRPr="00435A79" w:rsidRDefault="00A7323D" w:rsidP="00A7323D">
      <w:pPr>
        <w:spacing w:line="276" w:lineRule="auto"/>
        <w:jc w:val="left"/>
        <w:rPr>
          <w:rFonts w:ascii="Arial" w:hAnsi="Arial" w:cs="Arial"/>
          <w:sz w:val="20"/>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4820"/>
        <w:gridCol w:w="4252"/>
        <w:gridCol w:w="1701"/>
      </w:tblGrid>
      <w:tr w:rsidR="00A7323D" w:rsidRPr="00F174C8" w:rsidTr="00507B26">
        <w:trPr>
          <w:trHeight w:val="1871"/>
          <w:jc w:val="center"/>
        </w:trPr>
        <w:tc>
          <w:tcPr>
            <w:tcW w:w="10773" w:type="dxa"/>
            <w:gridSpan w:val="3"/>
            <w:tcBorders>
              <w:top w:val="nil"/>
              <w:bottom w:val="nil"/>
            </w:tcBorders>
            <w:shd w:val="clear" w:color="auto" w:fill="FFFFFF" w:themeFill="background1"/>
            <w:vAlign w:val="center"/>
          </w:tcPr>
          <w:p w:rsidR="00A7323D" w:rsidRPr="00F174C8" w:rsidRDefault="00A7323D" w:rsidP="00507B26">
            <w:pPr>
              <w:spacing w:line="276" w:lineRule="auto"/>
              <w:rPr>
                <w:rFonts w:ascii="Arial" w:hAnsi="Arial" w:cs="Arial"/>
                <w:color w:val="6C6361"/>
                <w:sz w:val="20"/>
                <w:szCs w:val="20"/>
              </w:rPr>
            </w:pPr>
            <w:r w:rsidRPr="00F174C8">
              <w:rPr>
                <w:rFonts w:ascii="Arial" w:hAnsi="Arial" w:cs="Arial"/>
                <w:color w:val="6C6361"/>
                <w:sz w:val="20"/>
                <w:szCs w:val="20"/>
              </w:rPr>
              <w:t xml:space="preserve">This 3-hour seminar will provide an introduction and overview of the use of equity to establish and/or vary interests in property.  The seminar will consider implied trusts and the development of the law of resulting and constructive trusts to </w:t>
            </w:r>
            <w:proofErr w:type="spellStart"/>
            <w:r w:rsidRPr="00F174C8">
              <w:rPr>
                <w:rFonts w:ascii="Arial" w:hAnsi="Arial" w:cs="Arial"/>
                <w:color w:val="6C6361"/>
                <w:sz w:val="20"/>
                <w:szCs w:val="20"/>
              </w:rPr>
              <w:t>recognise</w:t>
            </w:r>
            <w:proofErr w:type="spellEnd"/>
            <w:r w:rsidRPr="00F174C8">
              <w:rPr>
                <w:rFonts w:ascii="Arial" w:hAnsi="Arial" w:cs="Arial"/>
                <w:color w:val="6C6361"/>
                <w:sz w:val="20"/>
                <w:szCs w:val="20"/>
              </w:rPr>
              <w:t xml:space="preserve"> interests in property.  The seminar will consider the </w:t>
            </w:r>
            <w:proofErr w:type="spellStart"/>
            <w:r w:rsidRPr="00F174C8">
              <w:rPr>
                <w:rFonts w:ascii="Arial" w:hAnsi="Arial" w:cs="Arial"/>
                <w:color w:val="6C6361"/>
                <w:sz w:val="20"/>
                <w:szCs w:val="20"/>
              </w:rPr>
              <w:t>categorisation</w:t>
            </w:r>
            <w:proofErr w:type="spellEnd"/>
            <w:r w:rsidRPr="00F174C8">
              <w:rPr>
                <w:rFonts w:ascii="Arial" w:hAnsi="Arial" w:cs="Arial"/>
                <w:color w:val="6C6361"/>
                <w:sz w:val="20"/>
                <w:szCs w:val="20"/>
              </w:rPr>
              <w:t xml:space="preserve"> of resulting trusts and the demise of the presumption of resulting trust in the UK and its survival in Hong Kong.  Recent developments in the use of automatic resulting trusts to justify the recognition of </w:t>
            </w:r>
            <w:proofErr w:type="spellStart"/>
            <w:r w:rsidRPr="00F174C8">
              <w:rPr>
                <w:rFonts w:ascii="Arial" w:hAnsi="Arial" w:cs="Arial"/>
                <w:color w:val="6C6361"/>
                <w:sz w:val="20"/>
                <w:szCs w:val="20"/>
              </w:rPr>
              <w:t>Quistclose</w:t>
            </w:r>
            <w:proofErr w:type="spellEnd"/>
            <w:r w:rsidRPr="00F174C8">
              <w:rPr>
                <w:rFonts w:ascii="Arial" w:hAnsi="Arial" w:cs="Arial"/>
                <w:color w:val="6C6361"/>
                <w:sz w:val="20"/>
                <w:szCs w:val="20"/>
              </w:rPr>
              <w:t xml:space="preserve"> trusts will also be considered.  The seminar will then consider the issue of remedial as opposed to institutional constructive trusts and the categories of constructive trust that may be </w:t>
            </w:r>
            <w:proofErr w:type="spellStart"/>
            <w:r w:rsidRPr="00F174C8">
              <w:rPr>
                <w:rFonts w:ascii="Arial" w:hAnsi="Arial" w:cs="Arial"/>
                <w:color w:val="6C6361"/>
                <w:sz w:val="20"/>
                <w:szCs w:val="20"/>
              </w:rPr>
              <w:t>recognised</w:t>
            </w:r>
            <w:proofErr w:type="spellEnd"/>
            <w:r w:rsidRPr="00F174C8">
              <w:rPr>
                <w:rFonts w:ascii="Arial" w:hAnsi="Arial" w:cs="Arial"/>
                <w:color w:val="6C6361"/>
                <w:sz w:val="20"/>
                <w:szCs w:val="20"/>
              </w:rPr>
              <w:t xml:space="preserve"> in Hong Kong.</w:t>
            </w:r>
          </w:p>
        </w:tc>
      </w:tr>
      <w:tr w:rsidR="00A7323D" w:rsidRPr="00F174C8" w:rsidTr="00507B26">
        <w:trPr>
          <w:trHeight w:val="340"/>
          <w:jc w:val="center"/>
        </w:trPr>
        <w:tc>
          <w:tcPr>
            <w:tcW w:w="9072" w:type="dxa"/>
            <w:gridSpan w:val="2"/>
            <w:tcBorders>
              <w:top w:val="nil"/>
              <w:bottom w:val="nil"/>
              <w:right w:val="nil"/>
            </w:tcBorders>
            <w:shd w:val="clear" w:color="auto" w:fill="F0EBE1"/>
            <w:vAlign w:val="center"/>
          </w:tcPr>
          <w:p w:rsidR="00A7323D" w:rsidRPr="00F174C8" w:rsidRDefault="00A7323D" w:rsidP="00507B26">
            <w:pPr>
              <w:spacing w:line="276" w:lineRule="auto"/>
              <w:rPr>
                <w:rFonts w:ascii="Arial" w:hAnsi="Arial" w:cs="Arial"/>
                <w:b/>
                <w:color w:val="524B48"/>
                <w:sz w:val="20"/>
                <w:szCs w:val="20"/>
              </w:rPr>
            </w:pPr>
            <w:r w:rsidRPr="00F174C8">
              <w:rPr>
                <w:rFonts w:ascii="Arial" w:hAnsi="Arial" w:cs="Arial"/>
                <w:b/>
                <w:color w:val="524B48"/>
                <w:sz w:val="20"/>
                <w:szCs w:val="20"/>
              </w:rPr>
              <w:t>Some of the topics considered in this seminar include:</w:t>
            </w:r>
          </w:p>
        </w:tc>
        <w:tc>
          <w:tcPr>
            <w:tcW w:w="1701" w:type="dxa"/>
            <w:vMerge w:val="restart"/>
            <w:tcBorders>
              <w:top w:val="nil"/>
              <w:left w:val="nil"/>
              <w:bottom w:val="nil"/>
              <w:right w:val="nil"/>
            </w:tcBorders>
            <w:shd w:val="clear" w:color="auto" w:fill="FFFFFF" w:themeFill="background1"/>
            <w:vAlign w:val="center"/>
          </w:tcPr>
          <w:p w:rsidR="00A7323D" w:rsidRPr="00F174C8" w:rsidRDefault="00A7323D" w:rsidP="00507B26">
            <w:pPr>
              <w:spacing w:line="276" w:lineRule="auto"/>
              <w:jc w:val="center"/>
              <w:rPr>
                <w:rFonts w:ascii="Arial" w:hAnsi="Arial" w:cs="Arial"/>
                <w:b/>
                <w:color w:val="524B48"/>
                <w:sz w:val="20"/>
                <w:szCs w:val="20"/>
              </w:rPr>
            </w:pPr>
            <w:r w:rsidRPr="00435A79">
              <w:rPr>
                <w:rFonts w:ascii="Arial" w:hAnsi="Arial" w:cs="Arial"/>
                <w:noProof/>
                <w:color w:val="6C6361"/>
                <w:sz w:val="20"/>
                <w:szCs w:val="20"/>
              </w:rPr>
              <w:drawing>
                <wp:inline distT="0" distB="0" distL="0" distR="0" wp14:anchorId="14A45797" wp14:editId="7FC109B4">
                  <wp:extent cx="892800" cy="101880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800" cy="1018800"/>
                          </a:xfrm>
                          <a:prstGeom prst="rect">
                            <a:avLst/>
                          </a:prstGeom>
                          <a:noFill/>
                          <a:ln>
                            <a:noFill/>
                          </a:ln>
                        </pic:spPr>
                      </pic:pic>
                    </a:graphicData>
                  </a:graphic>
                </wp:inline>
              </w:drawing>
            </w:r>
          </w:p>
        </w:tc>
      </w:tr>
      <w:tr w:rsidR="00A7323D" w:rsidRPr="00F174C8" w:rsidTr="00507B26">
        <w:trPr>
          <w:trHeight w:val="1644"/>
          <w:jc w:val="center"/>
        </w:trPr>
        <w:tc>
          <w:tcPr>
            <w:tcW w:w="4820" w:type="dxa"/>
            <w:tcBorders>
              <w:top w:val="nil"/>
              <w:bottom w:val="nil"/>
              <w:right w:val="nil"/>
            </w:tcBorders>
            <w:shd w:val="clear" w:color="auto" w:fill="FFFFFF" w:themeFill="background1"/>
            <w:vAlign w:val="center"/>
          </w:tcPr>
          <w:p w:rsidR="00A7323D" w:rsidRPr="00F174C8" w:rsidRDefault="00A7323D" w:rsidP="00507B26">
            <w:pPr>
              <w:pStyle w:val="ListParagraph"/>
              <w:numPr>
                <w:ilvl w:val="0"/>
                <w:numId w:val="1"/>
              </w:numPr>
              <w:spacing w:line="276" w:lineRule="auto"/>
              <w:rPr>
                <w:rFonts w:ascii="Arial" w:hAnsi="Arial" w:cs="Arial"/>
                <w:color w:val="6C6361"/>
                <w:sz w:val="20"/>
                <w:szCs w:val="20"/>
              </w:rPr>
            </w:pPr>
            <w:r w:rsidRPr="00F174C8">
              <w:rPr>
                <w:rFonts w:ascii="Arial" w:hAnsi="Arial" w:cs="Arial"/>
                <w:color w:val="6C6361"/>
                <w:sz w:val="20"/>
                <w:szCs w:val="20"/>
              </w:rPr>
              <w:t>Implied trusts;</w:t>
            </w:r>
          </w:p>
          <w:p w:rsidR="00A7323D" w:rsidRPr="00F174C8" w:rsidRDefault="00A7323D" w:rsidP="00507B26">
            <w:pPr>
              <w:pStyle w:val="ListParagraph"/>
              <w:numPr>
                <w:ilvl w:val="0"/>
                <w:numId w:val="1"/>
              </w:numPr>
              <w:spacing w:line="276" w:lineRule="auto"/>
              <w:rPr>
                <w:rFonts w:ascii="Arial" w:hAnsi="Arial" w:cs="Arial"/>
                <w:color w:val="6C6361"/>
                <w:sz w:val="20"/>
                <w:szCs w:val="20"/>
              </w:rPr>
            </w:pPr>
            <w:r w:rsidRPr="00F174C8">
              <w:rPr>
                <w:rFonts w:ascii="Arial" w:hAnsi="Arial" w:cs="Arial"/>
                <w:color w:val="6C6361"/>
                <w:sz w:val="20"/>
                <w:szCs w:val="20"/>
              </w:rPr>
              <w:t>The origins of the doctrines of resulting trusts and constructive trusts;</w:t>
            </w:r>
          </w:p>
          <w:p w:rsidR="00A7323D" w:rsidRPr="00F174C8" w:rsidRDefault="00A7323D" w:rsidP="00507B26">
            <w:pPr>
              <w:pStyle w:val="ListParagraph"/>
              <w:numPr>
                <w:ilvl w:val="0"/>
                <w:numId w:val="1"/>
              </w:numPr>
              <w:spacing w:line="276" w:lineRule="auto"/>
              <w:rPr>
                <w:rFonts w:ascii="Arial" w:hAnsi="Arial" w:cs="Arial"/>
                <w:color w:val="6C6361"/>
                <w:sz w:val="20"/>
                <w:szCs w:val="20"/>
              </w:rPr>
            </w:pPr>
            <w:r w:rsidRPr="00F174C8">
              <w:rPr>
                <w:rFonts w:ascii="Arial" w:hAnsi="Arial" w:cs="Arial"/>
                <w:color w:val="6C6361"/>
                <w:sz w:val="20"/>
                <w:szCs w:val="20"/>
              </w:rPr>
              <w:t>The presumption of resulting trust;</w:t>
            </w:r>
          </w:p>
          <w:p w:rsidR="00A7323D" w:rsidRPr="00F174C8" w:rsidRDefault="00A7323D" w:rsidP="00507B26">
            <w:pPr>
              <w:pStyle w:val="ListParagraph"/>
              <w:numPr>
                <w:ilvl w:val="0"/>
                <w:numId w:val="1"/>
              </w:numPr>
              <w:spacing w:line="276" w:lineRule="auto"/>
              <w:rPr>
                <w:rFonts w:ascii="Arial" w:hAnsi="Arial" w:cs="Arial"/>
                <w:color w:val="6C6361"/>
                <w:sz w:val="20"/>
                <w:szCs w:val="20"/>
              </w:rPr>
            </w:pPr>
            <w:r w:rsidRPr="00F174C8">
              <w:rPr>
                <w:rFonts w:ascii="Arial" w:hAnsi="Arial" w:cs="Arial"/>
                <w:color w:val="6C6361"/>
                <w:sz w:val="20"/>
                <w:szCs w:val="20"/>
              </w:rPr>
              <w:t>Rebutting the presumption of resulting trust;</w:t>
            </w:r>
          </w:p>
          <w:p w:rsidR="00A7323D" w:rsidRPr="00F174C8" w:rsidRDefault="00A7323D" w:rsidP="00507B26">
            <w:pPr>
              <w:pStyle w:val="ListParagraph"/>
              <w:numPr>
                <w:ilvl w:val="0"/>
                <w:numId w:val="1"/>
              </w:numPr>
              <w:spacing w:line="276" w:lineRule="auto"/>
              <w:rPr>
                <w:rFonts w:ascii="Arial" w:hAnsi="Arial" w:cs="Arial"/>
                <w:color w:val="6C6361"/>
                <w:sz w:val="20"/>
                <w:szCs w:val="20"/>
              </w:rPr>
            </w:pPr>
            <w:r w:rsidRPr="00F174C8">
              <w:rPr>
                <w:rFonts w:ascii="Arial" w:hAnsi="Arial" w:cs="Arial"/>
                <w:color w:val="6C6361"/>
                <w:sz w:val="20"/>
                <w:szCs w:val="20"/>
              </w:rPr>
              <w:t>The automatic resulting trust;</w:t>
            </w:r>
          </w:p>
        </w:tc>
        <w:tc>
          <w:tcPr>
            <w:tcW w:w="4252" w:type="dxa"/>
            <w:tcBorders>
              <w:top w:val="nil"/>
              <w:left w:val="nil"/>
              <w:bottom w:val="nil"/>
              <w:right w:val="nil"/>
            </w:tcBorders>
            <w:shd w:val="clear" w:color="auto" w:fill="FFFFFF" w:themeFill="background1"/>
            <w:vAlign w:val="center"/>
          </w:tcPr>
          <w:p w:rsidR="00A7323D" w:rsidRPr="00F174C8" w:rsidRDefault="00A7323D" w:rsidP="00507B26">
            <w:pPr>
              <w:pStyle w:val="ListParagraph"/>
              <w:numPr>
                <w:ilvl w:val="0"/>
                <w:numId w:val="1"/>
              </w:numPr>
              <w:spacing w:line="276" w:lineRule="auto"/>
              <w:rPr>
                <w:rFonts w:ascii="Arial" w:hAnsi="Arial" w:cs="Arial"/>
                <w:color w:val="6C6361"/>
                <w:sz w:val="20"/>
                <w:szCs w:val="20"/>
              </w:rPr>
            </w:pPr>
            <w:proofErr w:type="spellStart"/>
            <w:r w:rsidRPr="00F174C8">
              <w:rPr>
                <w:rFonts w:ascii="Arial" w:hAnsi="Arial" w:cs="Arial"/>
                <w:color w:val="6C6361"/>
                <w:sz w:val="20"/>
                <w:szCs w:val="20"/>
              </w:rPr>
              <w:t>Quistclose</w:t>
            </w:r>
            <w:proofErr w:type="spellEnd"/>
            <w:r w:rsidRPr="00F174C8">
              <w:rPr>
                <w:rFonts w:ascii="Arial" w:hAnsi="Arial" w:cs="Arial"/>
                <w:color w:val="6C6361"/>
                <w:sz w:val="20"/>
                <w:szCs w:val="20"/>
              </w:rPr>
              <w:t xml:space="preserve"> trusts;</w:t>
            </w:r>
          </w:p>
          <w:p w:rsidR="00A7323D" w:rsidRPr="00F174C8" w:rsidRDefault="00A7323D" w:rsidP="00507B26">
            <w:pPr>
              <w:pStyle w:val="ListParagraph"/>
              <w:numPr>
                <w:ilvl w:val="0"/>
                <w:numId w:val="1"/>
              </w:numPr>
              <w:spacing w:line="276" w:lineRule="auto"/>
              <w:rPr>
                <w:rFonts w:ascii="Arial" w:hAnsi="Arial" w:cs="Arial"/>
                <w:color w:val="6C6361"/>
                <w:sz w:val="20"/>
                <w:szCs w:val="20"/>
              </w:rPr>
            </w:pPr>
            <w:r w:rsidRPr="00F174C8">
              <w:rPr>
                <w:rFonts w:ascii="Arial" w:hAnsi="Arial" w:cs="Arial"/>
                <w:color w:val="6C6361"/>
                <w:sz w:val="20"/>
                <w:szCs w:val="20"/>
              </w:rPr>
              <w:t>Remedial and institutional constructive trusts;</w:t>
            </w:r>
          </w:p>
          <w:p w:rsidR="00A7323D" w:rsidRPr="00F174C8" w:rsidRDefault="00A7323D" w:rsidP="00507B26">
            <w:pPr>
              <w:pStyle w:val="ListParagraph"/>
              <w:numPr>
                <w:ilvl w:val="0"/>
                <w:numId w:val="1"/>
              </w:numPr>
              <w:spacing w:line="276" w:lineRule="auto"/>
              <w:rPr>
                <w:rFonts w:ascii="Arial" w:hAnsi="Arial" w:cs="Arial"/>
                <w:color w:val="6C6361"/>
                <w:sz w:val="20"/>
                <w:szCs w:val="20"/>
              </w:rPr>
            </w:pPr>
            <w:r w:rsidRPr="00F174C8">
              <w:rPr>
                <w:rFonts w:ascii="Arial" w:hAnsi="Arial" w:cs="Arial"/>
                <w:color w:val="6C6361"/>
                <w:sz w:val="20"/>
                <w:szCs w:val="20"/>
              </w:rPr>
              <w:t xml:space="preserve">The categories of constructive trust </w:t>
            </w:r>
            <w:proofErr w:type="spellStart"/>
            <w:r w:rsidRPr="00F174C8">
              <w:rPr>
                <w:rFonts w:ascii="Arial" w:hAnsi="Arial" w:cs="Arial"/>
                <w:color w:val="6C6361"/>
                <w:sz w:val="20"/>
                <w:szCs w:val="20"/>
              </w:rPr>
              <w:t>recognised</w:t>
            </w:r>
            <w:proofErr w:type="spellEnd"/>
            <w:r w:rsidRPr="00F174C8">
              <w:rPr>
                <w:rFonts w:ascii="Arial" w:hAnsi="Arial" w:cs="Arial"/>
                <w:color w:val="6C6361"/>
                <w:sz w:val="20"/>
                <w:szCs w:val="20"/>
              </w:rPr>
              <w:t xml:space="preserve"> in Hong Kong;</w:t>
            </w:r>
          </w:p>
          <w:p w:rsidR="00A7323D" w:rsidRPr="00701223" w:rsidRDefault="00A7323D" w:rsidP="00507B26">
            <w:pPr>
              <w:pStyle w:val="ListParagraph"/>
              <w:numPr>
                <w:ilvl w:val="0"/>
                <w:numId w:val="1"/>
              </w:numPr>
              <w:spacing w:line="276" w:lineRule="auto"/>
              <w:rPr>
                <w:rFonts w:ascii="Arial" w:hAnsi="Arial" w:cs="Arial"/>
                <w:color w:val="6C6361"/>
                <w:sz w:val="20"/>
                <w:szCs w:val="20"/>
              </w:rPr>
            </w:pPr>
            <w:r w:rsidRPr="00F174C8">
              <w:rPr>
                <w:rFonts w:ascii="Arial" w:hAnsi="Arial" w:cs="Arial"/>
                <w:color w:val="6C6361"/>
                <w:sz w:val="20"/>
                <w:szCs w:val="20"/>
              </w:rPr>
              <w:t>The disputed issues in this area of the law.</w:t>
            </w:r>
          </w:p>
        </w:tc>
        <w:tc>
          <w:tcPr>
            <w:tcW w:w="1701" w:type="dxa"/>
            <w:vMerge/>
            <w:tcBorders>
              <w:left w:val="nil"/>
              <w:bottom w:val="nil"/>
            </w:tcBorders>
            <w:shd w:val="clear" w:color="auto" w:fill="FFFFFF" w:themeFill="background1"/>
            <w:vAlign w:val="center"/>
          </w:tcPr>
          <w:p w:rsidR="00A7323D" w:rsidRPr="00F174C8" w:rsidRDefault="00A7323D" w:rsidP="00507B26">
            <w:pPr>
              <w:spacing w:line="276" w:lineRule="auto"/>
              <w:rPr>
                <w:rFonts w:ascii="Arial" w:hAnsi="Arial" w:cs="Arial"/>
                <w:color w:val="6C6361"/>
                <w:sz w:val="20"/>
                <w:szCs w:val="20"/>
              </w:rPr>
            </w:pPr>
          </w:p>
        </w:tc>
      </w:tr>
    </w:tbl>
    <w:p w:rsidR="005B282B" w:rsidRPr="00A7323D" w:rsidRDefault="005B282B" w:rsidP="005B282B">
      <w:pPr>
        <w:spacing w:line="276" w:lineRule="auto"/>
        <w:rPr>
          <w:rFonts w:ascii="Arial" w:hAnsi="Arial" w:cs="Arial"/>
          <w:sz w:val="20"/>
          <w:szCs w:val="16"/>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30"/>
        <w:gridCol w:w="1255"/>
      </w:tblGrid>
      <w:tr w:rsidR="00A7323D" w:rsidRPr="00320F79" w:rsidTr="00F23CB4">
        <w:trPr>
          <w:trHeight w:val="340"/>
          <w:jc w:val="center"/>
        </w:trPr>
        <w:tc>
          <w:tcPr>
            <w:tcW w:w="1701" w:type="dxa"/>
            <w:tcBorders>
              <w:top w:val="nil"/>
              <w:left w:val="nil"/>
              <w:bottom w:val="single" w:sz="12" w:space="0" w:color="FFFFFF"/>
            </w:tcBorders>
            <w:shd w:val="clear" w:color="auto" w:fill="F0EBE1"/>
            <w:vAlign w:val="center"/>
          </w:tcPr>
          <w:p w:rsidR="00A7323D" w:rsidRPr="00320F79" w:rsidRDefault="00A7323D" w:rsidP="00A732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A7323D" w:rsidRPr="00320F79" w:rsidRDefault="00A7323D" w:rsidP="00A732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EVT000000250</w:t>
            </w:r>
          </w:p>
        </w:tc>
        <w:tc>
          <w:tcPr>
            <w:tcW w:w="1701" w:type="dxa"/>
            <w:tcBorders>
              <w:top w:val="nil"/>
              <w:bottom w:val="single" w:sz="12" w:space="0" w:color="FFFFFF"/>
            </w:tcBorders>
            <w:shd w:val="clear" w:color="auto" w:fill="F0EBE1"/>
            <w:vAlign w:val="center"/>
          </w:tcPr>
          <w:p w:rsidR="00A7323D" w:rsidRPr="00320F79" w:rsidRDefault="00A7323D" w:rsidP="00A732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A7323D" w:rsidRPr="00320F79" w:rsidRDefault="00A7323D" w:rsidP="00A732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A7323D" w:rsidRPr="00320F79" w:rsidTr="00F23CB4">
        <w:trPr>
          <w:trHeight w:val="340"/>
          <w:jc w:val="center"/>
        </w:trPr>
        <w:tc>
          <w:tcPr>
            <w:tcW w:w="1701" w:type="dxa"/>
            <w:tcBorders>
              <w:top w:val="single" w:sz="12" w:space="0" w:color="FFFFFF"/>
              <w:left w:val="nil"/>
              <w:bottom w:val="single" w:sz="12" w:space="0" w:color="FFFFFF"/>
            </w:tcBorders>
            <w:shd w:val="clear" w:color="auto" w:fill="F0EBE1"/>
            <w:vAlign w:val="center"/>
          </w:tcPr>
          <w:p w:rsidR="00A7323D" w:rsidRPr="00320F79" w:rsidRDefault="00A7323D" w:rsidP="00A732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A7323D" w:rsidRPr="00320F79" w:rsidRDefault="00A7323D" w:rsidP="00A732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435A79">
              <w:rPr>
                <w:rFonts w:ascii="Arial" w:hAnsi="Arial" w:cs="Arial"/>
                <w:b/>
                <w:color w:val="6C6361"/>
                <w:sz w:val="20"/>
                <w:szCs w:val="20"/>
              </w:rPr>
              <w:t>4 October 2018 (Thursday)</w:t>
            </w:r>
          </w:p>
        </w:tc>
        <w:tc>
          <w:tcPr>
            <w:tcW w:w="1701" w:type="dxa"/>
            <w:tcBorders>
              <w:top w:val="single" w:sz="12" w:space="0" w:color="FFFFFF"/>
              <w:bottom w:val="single" w:sz="12" w:space="0" w:color="FFFFFF"/>
            </w:tcBorders>
            <w:shd w:val="clear" w:color="auto" w:fill="F0EBE1"/>
            <w:vAlign w:val="center"/>
          </w:tcPr>
          <w:p w:rsidR="00A7323D" w:rsidRPr="00320F79" w:rsidRDefault="00A7323D" w:rsidP="00A732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A7323D" w:rsidRPr="00320F79" w:rsidRDefault="00A7323D" w:rsidP="00A732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A7323D" w:rsidRPr="00320F79" w:rsidTr="00F23CB4">
        <w:trPr>
          <w:trHeight w:val="340"/>
          <w:jc w:val="center"/>
        </w:trPr>
        <w:tc>
          <w:tcPr>
            <w:tcW w:w="1701" w:type="dxa"/>
            <w:tcBorders>
              <w:top w:val="single" w:sz="12" w:space="0" w:color="FFFFFF"/>
              <w:left w:val="nil"/>
              <w:bottom w:val="single" w:sz="12" w:space="0" w:color="FFFFFF"/>
            </w:tcBorders>
            <w:shd w:val="clear" w:color="auto" w:fill="F0EBE1"/>
            <w:vAlign w:val="center"/>
          </w:tcPr>
          <w:p w:rsidR="00A7323D" w:rsidRPr="00320F79" w:rsidRDefault="00A7323D" w:rsidP="00A732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A7323D" w:rsidRPr="00320F79" w:rsidRDefault="00A7323D" w:rsidP="00A732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w:t>
            </w:r>
            <w:r w:rsidRPr="00320F79">
              <w:rPr>
                <w:rFonts w:ascii="Arial" w:hAnsi="Arial" w:cs="Arial"/>
                <w:b/>
                <w:color w:val="6C6361"/>
                <w:sz w:val="20"/>
                <w:szCs w:val="20"/>
              </w:rPr>
              <w:t>:30 - 1</w:t>
            </w:r>
            <w:r>
              <w:rPr>
                <w:rFonts w:ascii="Arial" w:hAnsi="Arial" w:cs="Arial"/>
                <w:b/>
                <w:color w:val="6C6361"/>
                <w:sz w:val="20"/>
                <w:szCs w:val="20"/>
              </w:rPr>
              <w:t>7</w:t>
            </w:r>
            <w:r w:rsidRPr="00320F79">
              <w:rPr>
                <w:rFonts w:ascii="Arial" w:hAnsi="Arial" w:cs="Arial"/>
                <w:b/>
                <w:color w:val="6C6361"/>
                <w:sz w:val="20"/>
                <w:szCs w:val="20"/>
              </w:rPr>
              <w:t>:45</w:t>
            </w:r>
          </w:p>
          <w:p w:rsidR="00A7323D" w:rsidRPr="00320F79" w:rsidRDefault="00A7323D" w:rsidP="00A732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14</w:t>
            </w:r>
            <w:r w:rsidRPr="00320F79">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rsidR="00A7323D" w:rsidRPr="00320F79" w:rsidRDefault="00A7323D" w:rsidP="00A732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A7323D" w:rsidRPr="00E843DA" w:rsidRDefault="00A7323D" w:rsidP="00A732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320F79">
              <w:rPr>
                <w:rFonts w:ascii="Arial" w:hAnsi="Arial" w:cs="Arial"/>
                <w:b/>
                <w:color w:val="6C6361"/>
                <w:sz w:val="20"/>
                <w:szCs w:val="20"/>
              </w:rPr>
              <w:t xml:space="preserve">LSHK </w:t>
            </w:r>
            <w:r>
              <w:rPr>
                <w:rFonts w:ascii="Arial" w:hAnsi="Arial" w:cs="Arial"/>
                <w:b/>
                <w:color w:val="6C6361"/>
                <w:sz w:val="20"/>
                <w:szCs w:val="20"/>
              </w:rPr>
              <w:t>3.0 CPD Points</w:t>
            </w:r>
          </w:p>
        </w:tc>
      </w:tr>
      <w:tr w:rsidR="005B282B" w:rsidRPr="00320F79" w:rsidTr="00F23CB4">
        <w:trPr>
          <w:trHeight w:val="1247"/>
          <w:jc w:val="center"/>
        </w:trPr>
        <w:tc>
          <w:tcPr>
            <w:tcW w:w="1701" w:type="dxa"/>
            <w:tcBorders>
              <w:top w:val="single" w:sz="12" w:space="0" w:color="FFFFFF"/>
              <w:left w:val="nil"/>
              <w:bottom w:val="nil"/>
            </w:tcBorders>
            <w:shd w:val="clear" w:color="auto" w:fill="F0EBE1"/>
            <w:vAlign w:val="center"/>
          </w:tcPr>
          <w:p w:rsidR="005B282B" w:rsidRPr="00320F79" w:rsidRDefault="005B282B" w:rsidP="00F23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5B282B" w:rsidRPr="00320F79" w:rsidRDefault="005B282B" w:rsidP="00F23CB4">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320F79">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320F79">
              <w:rPr>
                <w:rFonts w:ascii="Arial" w:hAnsi="Arial" w:cs="Arial"/>
                <w:b/>
                <w:color w:val="6C6361"/>
                <w:sz w:val="20"/>
                <w:szCs w:val="20"/>
              </w:rPr>
              <w:fldChar w:fldCharType="separate"/>
            </w:r>
            <w:r w:rsidRPr="00320F79">
              <w:rPr>
                <w:rStyle w:val="Hyperlink"/>
                <w:rFonts w:ascii="Arial" w:hAnsi="Arial" w:cs="Arial"/>
                <w:b/>
                <w:color w:val="6C6361"/>
                <w:sz w:val="20"/>
                <w:szCs w:val="20"/>
                <w:u w:val="none"/>
              </w:rPr>
              <w:t>Kornerstone Institute</w:t>
            </w:r>
          </w:p>
          <w:p w:rsidR="005B282B" w:rsidRPr="00320F79" w:rsidRDefault="005B282B" w:rsidP="00F23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15/F, Hip Shing Hong Centre</w:t>
            </w:r>
          </w:p>
          <w:p w:rsidR="005B282B" w:rsidRPr="00320F79" w:rsidRDefault="005B282B" w:rsidP="00F23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55 Des Voeux Road Central</w:t>
            </w:r>
          </w:p>
          <w:p w:rsidR="005B282B" w:rsidRPr="00320F79" w:rsidRDefault="005B282B" w:rsidP="00F23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320F79">
              <w:rPr>
                <w:rStyle w:val="Hyperlink"/>
                <w:rFonts w:ascii="Arial" w:hAnsi="Arial" w:cs="Arial"/>
                <w:color w:val="6C6361"/>
                <w:sz w:val="20"/>
                <w:szCs w:val="20"/>
                <w:u w:val="none"/>
              </w:rPr>
              <w:t>Central, Hong Kong</w:t>
            </w:r>
            <w:r w:rsidRPr="00320F79">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5B282B" w:rsidRDefault="005B282B" w:rsidP="00F23CB4">
            <w:pPr>
              <w:jc w:val="right"/>
              <w:rPr>
                <w:rFonts w:ascii="Arial" w:hAnsi="Arial" w:cs="Arial"/>
                <w:b/>
                <w:color w:val="6C6361"/>
                <w:sz w:val="20"/>
                <w:szCs w:val="20"/>
              </w:rPr>
            </w:pPr>
          </w:p>
          <w:p w:rsidR="005B282B" w:rsidRDefault="005B282B" w:rsidP="00F23CB4">
            <w:pPr>
              <w:jc w:val="right"/>
              <w:rPr>
                <w:rFonts w:ascii="Arial" w:hAnsi="Arial" w:cs="Arial"/>
                <w:b/>
                <w:color w:val="6C6361"/>
                <w:sz w:val="20"/>
                <w:szCs w:val="20"/>
              </w:rPr>
            </w:pPr>
          </w:p>
          <w:p w:rsidR="005B282B" w:rsidRPr="00320F79" w:rsidRDefault="005B282B" w:rsidP="00F23CB4">
            <w:pPr>
              <w:jc w:val="right"/>
              <w:rPr>
                <w:rFonts w:ascii="Arial" w:hAnsi="Arial" w:cs="Arial"/>
                <w:b/>
                <w:color w:val="6C6361"/>
                <w:sz w:val="20"/>
                <w:szCs w:val="20"/>
              </w:rPr>
            </w:pPr>
            <w:r w:rsidRPr="00320F79">
              <w:rPr>
                <w:rFonts w:ascii="Arial" w:hAnsi="Arial" w:cs="Arial"/>
                <w:b/>
                <w:noProof/>
                <w:color w:val="6C6361"/>
                <w:sz w:val="20"/>
                <w:szCs w:val="20"/>
              </w:rPr>
              <w:drawing>
                <wp:inline distT="0" distB="0" distL="0" distR="0" wp14:anchorId="2FC0762A" wp14:editId="05820918">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5B282B" w:rsidRPr="00E2201B" w:rsidRDefault="005B282B" w:rsidP="00F23CB4">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rsidR="005B282B" w:rsidRPr="003A2A41" w:rsidRDefault="005B282B" w:rsidP="00F23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5B282B" w:rsidRPr="003A2A41" w:rsidRDefault="005B282B" w:rsidP="00F23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30" w:type="dxa"/>
            <w:tcBorders>
              <w:top w:val="single" w:sz="12" w:space="0" w:color="F0EBE1"/>
              <w:bottom w:val="nil"/>
              <w:right w:val="nil"/>
            </w:tcBorders>
            <w:shd w:val="clear" w:color="auto" w:fill="FFFFFF"/>
            <w:vAlign w:val="center"/>
          </w:tcPr>
          <w:p w:rsidR="005B282B" w:rsidRPr="003A2A41" w:rsidRDefault="005B282B" w:rsidP="00F23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5B282B" w:rsidRPr="003A2A41" w:rsidRDefault="005B282B" w:rsidP="00F23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55" w:type="dxa"/>
            <w:tcBorders>
              <w:top w:val="single" w:sz="12" w:space="0" w:color="F0EBE1"/>
              <w:left w:val="nil"/>
              <w:bottom w:val="nil"/>
              <w:right w:val="nil"/>
            </w:tcBorders>
            <w:shd w:val="clear" w:color="auto" w:fill="FFFFFF"/>
            <w:vAlign w:val="center"/>
          </w:tcPr>
          <w:p w:rsidR="005B282B" w:rsidRPr="00156567" w:rsidRDefault="005B282B" w:rsidP="00F23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68A39D68" wp14:editId="67DA87C1">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5B282B" w:rsidRDefault="00214BC6" w:rsidP="005B282B">
      <w:pPr>
        <w:rPr>
          <w:sz w:val="2"/>
          <w:szCs w:val="2"/>
        </w:rPr>
      </w:pPr>
    </w:p>
    <w:sectPr w:rsidR="00214BC6" w:rsidRPr="005B282B"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6F3D" w:rsidRDefault="009D6F3D" w:rsidP="00546556">
      <w:r>
        <w:separator/>
      </w:r>
    </w:p>
  </w:endnote>
  <w:endnote w:type="continuationSeparator" w:id="0">
    <w:p w:rsidR="009D6F3D" w:rsidRDefault="009D6F3D"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6F3D" w:rsidRDefault="009D6F3D" w:rsidP="00546556">
      <w:r>
        <w:separator/>
      </w:r>
    </w:p>
  </w:footnote>
  <w:footnote w:type="continuationSeparator" w:id="0">
    <w:p w:rsidR="009D6F3D" w:rsidRDefault="009D6F3D"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11"/>
  <w:displayBackgroundShape/>
  <w:gutterAtTop/>
  <w:proofState w:spelling="clean" w:grammar="clean"/>
  <w:documentProtection w:edit="forms" w:enforcement="1" w:cryptProviderType="rsaAES" w:cryptAlgorithmClass="hash" w:cryptAlgorithmType="typeAny" w:cryptAlgorithmSid="14" w:cryptSpinCount="100000" w:hash="/wFIVyT8IYMlj6Fmsse00ogzsdG5ipYg9LcvglZ3355xXDIEbq5cSO9b032tfl1NT5sTiyNigG4myptfzEtcZQ==" w:salt="qfxBjB2zaCZMEeWb4bQy7g=="/>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56B7C"/>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2E25"/>
    <w:rsid w:val="00153BCF"/>
    <w:rsid w:val="001543E8"/>
    <w:rsid w:val="001559FE"/>
    <w:rsid w:val="0015630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E75"/>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2B"/>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2B"/>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489A"/>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3216"/>
    <w:rsid w:val="00994BF0"/>
    <w:rsid w:val="00994CDD"/>
    <w:rsid w:val="009956FF"/>
    <w:rsid w:val="00996B08"/>
    <w:rsid w:val="009A00B8"/>
    <w:rsid w:val="009A0118"/>
    <w:rsid w:val="009A03AC"/>
    <w:rsid w:val="009A3216"/>
    <w:rsid w:val="009A423D"/>
    <w:rsid w:val="009A5018"/>
    <w:rsid w:val="009A573B"/>
    <w:rsid w:val="009A590F"/>
    <w:rsid w:val="009A5955"/>
    <w:rsid w:val="009A5EEA"/>
    <w:rsid w:val="009B04F4"/>
    <w:rsid w:val="009B1BA2"/>
    <w:rsid w:val="009B5D85"/>
    <w:rsid w:val="009B7803"/>
    <w:rsid w:val="009C0972"/>
    <w:rsid w:val="009C09F9"/>
    <w:rsid w:val="009C3621"/>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6F3D"/>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323D"/>
    <w:rsid w:val="00A73F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41B"/>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5DEA"/>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66BB9"/>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5424"/>
    <w:rsid w:val="00DB0C1E"/>
    <w:rsid w:val="00DB23E0"/>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031"/>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512/"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250/"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303A6E-89D5-42A2-B564-ECFBC4BB9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423</Words>
  <Characters>2412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CPD Course: Informal Interests in Property (1): Introduction to Implied Trusts - Resulting Trusts and Constructive Trusts</vt:lpstr>
    </vt:vector>
  </TitlesOfParts>
  <Manager>Tyrone Tsang</Manager>
  <Company>The Profectional Company Limited</Company>
  <LinksUpToDate>false</LinksUpToDate>
  <CharactersWithSpaces>2830</CharactersWithSpaces>
  <SharedDoc>false</SharedDoc>
  <HyperlinkBase>http://download.profectional.com/events/EVT000000250.docx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Informal Interests in Property (1): Introduction to Implied Trusts - Resulting Trusts and Constructive Trusts</dc:title>
  <dc:subject>CPD Course: Informal Interests in Property (1): Introduction to Implied Trusts - Resulting Trusts and Constructive Trusts</dc:subject>
  <dc:creator>The Profectional Company Limited</dc:creator>
  <cp:keywords>Profectional; Kornerstone; CPD; CPT; CLE; CE; RME; Steven Gallagher; Associate Professor of Practice in Law; Associate Dean (Teaching &amp; Learning);The Faculty of Law; The Chinese University of Hong Kong</cp:keywords>
  <cp:lastModifiedBy>Tyrone Tsang</cp:lastModifiedBy>
  <cp:revision>10</cp:revision>
  <cp:lastPrinted>2017-01-25T02:53:00Z</cp:lastPrinted>
  <dcterms:created xsi:type="dcterms:W3CDTF">2017-01-12T02:41:00Z</dcterms:created>
  <dcterms:modified xsi:type="dcterms:W3CDTF">2018-10-03T16:26:00Z</dcterms:modified>
</cp:coreProperties>
</file>