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63D" w:rsidRPr="0089063D" w:rsidRDefault="0089063D" w:rsidP="0089063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9063D" w:rsidRPr="00523A64" w:rsidTr="00DC7ADB">
        <w:trPr>
          <w:trHeight w:val="3119"/>
          <w:jc w:val="center"/>
        </w:trPr>
        <w:tc>
          <w:tcPr>
            <w:tcW w:w="4820" w:type="dxa"/>
            <w:shd w:val="clear" w:color="auto" w:fill="FFFFFF"/>
            <w:vAlign w:val="center"/>
          </w:tcPr>
          <w:p w:rsidR="0089063D" w:rsidRPr="001A3018" w:rsidRDefault="0089063D" w:rsidP="00DC7ADB">
            <w:pPr>
              <w:jc w:val="center"/>
              <w:rPr>
                <w:rFonts w:ascii="Arial" w:hAnsi="Arial" w:cs="Arial"/>
                <w:b/>
                <w:bCs/>
                <w:color w:val="524B48"/>
                <w:sz w:val="4"/>
                <w:szCs w:val="4"/>
              </w:rPr>
            </w:pPr>
          </w:p>
          <w:p w:rsidR="0089063D" w:rsidRDefault="0089063D" w:rsidP="00DC7ADB">
            <w:pPr>
              <w:jc w:val="center"/>
              <w:rPr>
                <w:rStyle w:val="Hyperlink"/>
                <w:rFonts w:ascii="Arial" w:hAnsi="Arial" w:cs="Arial"/>
                <w:b/>
                <w:bCs/>
                <w:color w:val="524B48"/>
                <w:sz w:val="32"/>
                <w:szCs w:val="32"/>
                <w:u w:val="none"/>
              </w:rPr>
            </w:pPr>
            <w:r w:rsidRPr="00CF685C">
              <w:fldChar w:fldCharType="begin"/>
            </w:r>
            <w:r>
              <w:instrText>HYPERLINK "http://cpd.hk/evt000000251/"</w:instrText>
            </w:r>
            <w:r w:rsidRPr="00CF685C">
              <w:fldChar w:fldCharType="separate"/>
            </w:r>
            <w:r>
              <w:rPr>
                <w:rStyle w:val="Hyperlink"/>
                <w:rFonts w:ascii="Arial" w:hAnsi="Arial" w:cs="Arial"/>
                <w:b/>
                <w:bCs/>
                <w:color w:val="524B48"/>
                <w:sz w:val="32"/>
                <w:szCs w:val="32"/>
                <w:u w:val="none"/>
              </w:rPr>
              <w:t>Informal Interests</w:t>
            </w:r>
          </w:p>
          <w:p w:rsidR="0089063D" w:rsidRDefault="0089063D" w:rsidP="00DC7A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Property (2):</w:t>
            </w:r>
          </w:p>
          <w:p w:rsidR="0089063D" w:rsidRDefault="0089063D" w:rsidP="00DC7A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Equity</w:t>
            </w:r>
          </w:p>
          <w:p w:rsidR="0089063D" w:rsidRDefault="0089063D" w:rsidP="00DC7A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Family Home</w:t>
            </w:r>
          </w:p>
          <w:p w:rsidR="0089063D" w:rsidRPr="00C65AFD" w:rsidRDefault="0089063D" w:rsidP="00DC7ADB">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89063D" w:rsidRPr="00C65AFD" w:rsidRDefault="0089063D" w:rsidP="00DC7ADB">
            <w:pPr>
              <w:jc w:val="center"/>
              <w:rPr>
                <w:rFonts w:ascii="Arial" w:hAnsi="Arial" w:cs="Arial"/>
                <w:i/>
                <w:color w:val="6C6361"/>
                <w:sz w:val="24"/>
                <w:szCs w:val="24"/>
              </w:rPr>
            </w:pPr>
            <w:r w:rsidRPr="00C65AFD">
              <w:rPr>
                <w:rFonts w:ascii="Arial" w:hAnsi="Arial" w:cs="Arial"/>
                <w:i/>
                <w:color w:val="6C6361"/>
                <w:sz w:val="24"/>
                <w:szCs w:val="24"/>
              </w:rPr>
              <w:t>by</w:t>
            </w:r>
          </w:p>
          <w:p w:rsidR="0089063D" w:rsidRDefault="0089063D" w:rsidP="00DC7ADB">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89063D" w:rsidRDefault="0089063D" w:rsidP="00DC7ADB">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89063D" w:rsidRDefault="0089063D" w:rsidP="00DC7ADB">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89063D" w:rsidRDefault="0089063D" w:rsidP="00DC7ADB">
            <w:pPr>
              <w:jc w:val="center"/>
              <w:rPr>
                <w:rFonts w:ascii="Arial" w:hAnsi="Arial" w:cs="Arial"/>
                <w:color w:val="6C6361"/>
                <w:sz w:val="24"/>
                <w:szCs w:val="24"/>
              </w:rPr>
            </w:pPr>
            <w:r>
              <w:rPr>
                <w:rFonts w:ascii="Arial" w:hAnsi="Arial" w:cs="Arial"/>
                <w:color w:val="6C6361"/>
                <w:sz w:val="24"/>
                <w:szCs w:val="24"/>
              </w:rPr>
              <w:t>The Faculty of Law,</w:t>
            </w:r>
          </w:p>
          <w:p w:rsidR="0089063D" w:rsidRDefault="0089063D" w:rsidP="00DC7ADB">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89063D" w:rsidRPr="00D87ECF" w:rsidRDefault="0089063D" w:rsidP="00DC7ADB">
            <w:pPr>
              <w:jc w:val="center"/>
              <w:rPr>
                <w:rFonts w:ascii="Arial" w:hAnsi="Arial" w:cs="Arial"/>
                <w:color w:val="6C6361"/>
                <w:sz w:val="8"/>
                <w:szCs w:val="8"/>
              </w:rPr>
            </w:pPr>
          </w:p>
        </w:tc>
        <w:tc>
          <w:tcPr>
            <w:tcW w:w="5954" w:type="dxa"/>
            <w:shd w:val="clear" w:color="auto" w:fill="FFFFFF"/>
            <w:vAlign w:val="center"/>
          </w:tcPr>
          <w:p w:rsidR="0089063D" w:rsidRPr="00D50772" w:rsidRDefault="0089063D" w:rsidP="00DC7ADB">
            <w:pPr>
              <w:spacing w:line="276" w:lineRule="auto"/>
              <w:jc w:val="center"/>
              <w:rPr>
                <w:rFonts w:ascii="Arial" w:eastAsia="Times New Roman" w:hAnsi="Arial" w:cs="Arial"/>
                <w:noProof/>
                <w:sz w:val="20"/>
                <w:szCs w:val="20"/>
              </w:rPr>
            </w:pPr>
            <w:r w:rsidRPr="00CE2555">
              <w:rPr>
                <w:rFonts w:ascii="Arial" w:eastAsia="Times New Roman" w:hAnsi="Arial" w:cs="Arial"/>
                <w:noProof/>
                <w:sz w:val="20"/>
                <w:szCs w:val="20"/>
              </w:rPr>
              <w:drawing>
                <wp:anchor distT="0" distB="0" distL="114300" distR="114300" simplePos="0" relativeHeight="251659264" behindDoc="0" locked="0" layoutInCell="1" allowOverlap="1" wp14:anchorId="5D884E2C" wp14:editId="512BD29D">
                  <wp:simplePos x="0" y="0"/>
                  <wp:positionH relativeFrom="column">
                    <wp:posOffset>3181985</wp:posOffset>
                  </wp:positionH>
                  <wp:positionV relativeFrom="paragraph">
                    <wp:posOffset>-191770</wp:posOffset>
                  </wp:positionV>
                  <wp:extent cx="53594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93BA8B4" wp14:editId="20C3C8C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9063D" w:rsidRPr="0061186A" w:rsidRDefault="0089063D" w:rsidP="0089063D">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89063D" w:rsidRPr="000F3FFC" w:rsidTr="00DC7ADB">
        <w:trPr>
          <w:trHeight w:val="2515"/>
          <w:jc w:val="center"/>
        </w:trPr>
        <w:tc>
          <w:tcPr>
            <w:tcW w:w="1985" w:type="dxa"/>
            <w:shd w:val="clear" w:color="auto" w:fill="FFFFFF"/>
            <w:vAlign w:val="center"/>
          </w:tcPr>
          <w:p w:rsidR="0089063D" w:rsidRPr="000F3FFC" w:rsidRDefault="0089063D" w:rsidP="00DC7ADB">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1FB17EC" wp14:editId="68D17C18">
                  <wp:extent cx="1080135" cy="1440180"/>
                  <wp:effectExtent l="0" t="0" r="5715" b="7620"/>
                  <wp:docPr id="9"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89063D" w:rsidRPr="001900E2" w:rsidRDefault="0089063D" w:rsidP="0089063D">
            <w:pPr>
              <w:pStyle w:val="NormalWeb"/>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89063D" w:rsidRPr="00547ED7" w:rsidRDefault="0089063D" w:rsidP="0089063D">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820"/>
        <w:gridCol w:w="4252"/>
        <w:gridCol w:w="1701"/>
      </w:tblGrid>
      <w:tr w:rsidR="0089063D" w:rsidRPr="005F7F59" w:rsidTr="00DC7ADB">
        <w:trPr>
          <w:trHeight w:val="1814"/>
          <w:jc w:val="center"/>
        </w:trPr>
        <w:tc>
          <w:tcPr>
            <w:tcW w:w="10773" w:type="dxa"/>
            <w:gridSpan w:val="3"/>
            <w:tcBorders>
              <w:top w:val="nil"/>
              <w:bottom w:val="nil"/>
            </w:tcBorders>
            <w:shd w:val="clear" w:color="auto" w:fill="FFFFFF" w:themeFill="background1"/>
            <w:vAlign w:val="center"/>
          </w:tcPr>
          <w:p w:rsidR="0089063D" w:rsidRPr="005F7F59" w:rsidRDefault="0089063D" w:rsidP="00DC7ADB">
            <w:pPr>
              <w:spacing w:line="276" w:lineRule="auto"/>
              <w:rPr>
                <w:rFonts w:ascii="Arial" w:hAnsi="Arial" w:cs="Arial"/>
                <w:color w:val="6C6361"/>
                <w:sz w:val="21"/>
                <w:szCs w:val="21"/>
              </w:rPr>
            </w:pPr>
            <w:r w:rsidRPr="005F7F59">
              <w:rPr>
                <w:rFonts w:ascii="Arial" w:hAnsi="Arial" w:cs="Arial"/>
                <w:color w:val="6C6361"/>
                <w:sz w:val="21"/>
                <w:szCs w:val="21"/>
              </w:rPr>
              <w:t>This 3-hour seminar will provide an introduction and overview of the use of equity to establish and/or vary interests in property purchased as a family home.  The seminar will consider how the court may consider beneficial interests in the family home upon divorce.  The seminar then considers how unmarried couples may have interests in the family home when the property is held in the couple’s joint names, in the sole name of one of the couple or when neither of the couple have legal title to the property.  The seminar considers how express trusts, resulting trusts, constructive trusts, proprietary estoppel and promissory estoppel may affect interests in the family home.</w:t>
            </w:r>
          </w:p>
        </w:tc>
      </w:tr>
      <w:tr w:rsidR="0089063D" w:rsidRPr="005F7F59" w:rsidTr="00DC7ADB">
        <w:trPr>
          <w:trHeight w:val="340"/>
          <w:jc w:val="center"/>
        </w:trPr>
        <w:tc>
          <w:tcPr>
            <w:tcW w:w="9072" w:type="dxa"/>
            <w:gridSpan w:val="2"/>
            <w:tcBorders>
              <w:top w:val="nil"/>
              <w:bottom w:val="nil"/>
              <w:right w:val="nil"/>
            </w:tcBorders>
            <w:shd w:val="clear" w:color="auto" w:fill="F0EBE1"/>
            <w:vAlign w:val="center"/>
          </w:tcPr>
          <w:p w:rsidR="0089063D" w:rsidRPr="005F7F59" w:rsidRDefault="0089063D" w:rsidP="00DC7ADB">
            <w:pPr>
              <w:spacing w:line="276" w:lineRule="auto"/>
              <w:rPr>
                <w:rFonts w:ascii="Arial" w:hAnsi="Arial" w:cs="Arial"/>
                <w:b/>
                <w:color w:val="524B48"/>
                <w:sz w:val="21"/>
                <w:szCs w:val="21"/>
              </w:rPr>
            </w:pPr>
            <w:r w:rsidRPr="005F7F59">
              <w:rPr>
                <w:rFonts w:ascii="Arial" w:hAnsi="Arial" w:cs="Arial"/>
                <w:b/>
                <w:color w:val="524B48"/>
                <w:sz w:val="21"/>
                <w:szCs w:val="21"/>
              </w:rPr>
              <w:t>Some of the topics considered in this seminar include:</w:t>
            </w:r>
          </w:p>
        </w:tc>
        <w:tc>
          <w:tcPr>
            <w:tcW w:w="1701" w:type="dxa"/>
            <w:vMerge w:val="restart"/>
            <w:tcBorders>
              <w:top w:val="nil"/>
              <w:left w:val="nil"/>
              <w:bottom w:val="nil"/>
              <w:right w:val="nil"/>
            </w:tcBorders>
            <w:shd w:val="clear" w:color="auto" w:fill="FFFFFF" w:themeFill="background1"/>
            <w:vAlign w:val="center"/>
          </w:tcPr>
          <w:p w:rsidR="0089063D" w:rsidRPr="00547ED7" w:rsidRDefault="0089063D" w:rsidP="00DC7ADB">
            <w:pPr>
              <w:spacing w:line="276" w:lineRule="auto"/>
              <w:jc w:val="center"/>
              <w:rPr>
                <w:rFonts w:ascii="Arial" w:hAnsi="Arial" w:cs="Arial"/>
                <w:b/>
                <w:color w:val="524B48"/>
                <w:sz w:val="10"/>
                <w:szCs w:val="10"/>
              </w:rPr>
            </w:pPr>
          </w:p>
          <w:p w:rsidR="0089063D" w:rsidRPr="005F7F59" w:rsidRDefault="0089063D" w:rsidP="00DC7ADB">
            <w:pPr>
              <w:spacing w:line="276" w:lineRule="auto"/>
              <w:jc w:val="center"/>
              <w:rPr>
                <w:rFonts w:ascii="Arial" w:hAnsi="Arial" w:cs="Arial"/>
                <w:b/>
                <w:color w:val="524B48"/>
                <w:sz w:val="21"/>
                <w:szCs w:val="21"/>
              </w:rPr>
            </w:pPr>
            <w:r w:rsidRPr="00A513B9">
              <w:rPr>
                <w:rFonts w:ascii="Arial" w:hAnsi="Arial" w:cs="Arial"/>
                <w:noProof/>
                <w:color w:val="6C6361"/>
                <w:sz w:val="21"/>
                <w:szCs w:val="21"/>
              </w:rPr>
              <w:drawing>
                <wp:inline distT="0" distB="0" distL="0" distR="0" wp14:anchorId="479289DF" wp14:editId="5BC01217">
                  <wp:extent cx="889200" cy="101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200" cy="1018800"/>
                          </a:xfrm>
                          <a:prstGeom prst="rect">
                            <a:avLst/>
                          </a:prstGeom>
                          <a:noFill/>
                          <a:ln>
                            <a:noFill/>
                          </a:ln>
                        </pic:spPr>
                      </pic:pic>
                    </a:graphicData>
                  </a:graphic>
                </wp:inline>
              </w:drawing>
            </w:r>
          </w:p>
        </w:tc>
      </w:tr>
      <w:tr w:rsidR="0089063D" w:rsidRPr="005F7F59" w:rsidTr="00DC7ADB">
        <w:trPr>
          <w:trHeight w:val="1780"/>
          <w:jc w:val="center"/>
        </w:trPr>
        <w:tc>
          <w:tcPr>
            <w:tcW w:w="4820" w:type="dxa"/>
            <w:tcBorders>
              <w:top w:val="nil"/>
              <w:bottom w:val="nil"/>
              <w:right w:val="nil"/>
            </w:tcBorders>
            <w:shd w:val="clear" w:color="auto" w:fill="FFFFFF" w:themeFill="background1"/>
            <w:vAlign w:val="center"/>
          </w:tcPr>
          <w:p w:rsidR="0089063D" w:rsidRPr="005F7F59" w:rsidRDefault="0089063D" w:rsidP="00DC7ADB">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Express trusts and ancillary relief;</w:t>
            </w:r>
          </w:p>
          <w:p w:rsidR="0089063D" w:rsidRPr="005F7F59" w:rsidRDefault="0089063D" w:rsidP="00DC7ADB">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Ante-nuptial and post-nuptial agreements;</w:t>
            </w:r>
          </w:p>
          <w:p w:rsidR="0089063D" w:rsidRPr="005F7F59" w:rsidRDefault="0089063D" w:rsidP="00DC7ADB">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 xml:space="preserve">Co-ownership of the family home after </w:t>
            </w:r>
            <w:r w:rsidRPr="005F7F59">
              <w:rPr>
                <w:rFonts w:ascii="Arial" w:hAnsi="Arial" w:cs="Arial"/>
                <w:i/>
                <w:color w:val="6C6361"/>
                <w:sz w:val="21"/>
                <w:szCs w:val="21"/>
              </w:rPr>
              <w:t>Stack v Dowden</w:t>
            </w:r>
            <w:r w:rsidRPr="005F7F59">
              <w:rPr>
                <w:rFonts w:ascii="Arial" w:hAnsi="Arial" w:cs="Arial"/>
                <w:color w:val="6C6361"/>
                <w:sz w:val="21"/>
                <w:szCs w:val="21"/>
              </w:rPr>
              <w:t xml:space="preserve"> [2007] UKHL 17;</w:t>
            </w:r>
          </w:p>
          <w:p w:rsidR="0089063D" w:rsidRPr="005F7F59" w:rsidRDefault="0089063D" w:rsidP="00DC7ADB">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 xml:space="preserve">Varying interests in the family home after </w:t>
            </w:r>
            <w:r w:rsidRPr="005F7F59">
              <w:rPr>
                <w:rFonts w:ascii="Arial" w:hAnsi="Arial" w:cs="Arial"/>
                <w:i/>
                <w:color w:val="6C6361"/>
                <w:sz w:val="21"/>
                <w:szCs w:val="21"/>
              </w:rPr>
              <w:t xml:space="preserve">Jones v </w:t>
            </w:r>
            <w:proofErr w:type="spellStart"/>
            <w:r w:rsidRPr="005F7F59">
              <w:rPr>
                <w:rFonts w:ascii="Arial" w:hAnsi="Arial" w:cs="Arial"/>
                <w:i/>
                <w:color w:val="6C6361"/>
                <w:sz w:val="21"/>
                <w:szCs w:val="21"/>
              </w:rPr>
              <w:t>Kernott</w:t>
            </w:r>
            <w:proofErr w:type="spellEnd"/>
            <w:r w:rsidRPr="005F7F59">
              <w:rPr>
                <w:rFonts w:ascii="Arial" w:hAnsi="Arial" w:cs="Arial"/>
                <w:color w:val="6C6361"/>
                <w:sz w:val="21"/>
                <w:szCs w:val="21"/>
              </w:rPr>
              <w:t xml:space="preserve"> [2011] UKSC 53;</w:t>
            </w:r>
          </w:p>
        </w:tc>
        <w:tc>
          <w:tcPr>
            <w:tcW w:w="4252" w:type="dxa"/>
            <w:tcBorders>
              <w:top w:val="nil"/>
              <w:left w:val="nil"/>
              <w:bottom w:val="nil"/>
              <w:right w:val="nil"/>
            </w:tcBorders>
            <w:shd w:val="clear" w:color="auto" w:fill="FFFFFF" w:themeFill="background1"/>
            <w:vAlign w:val="center"/>
          </w:tcPr>
          <w:p w:rsidR="0089063D" w:rsidRPr="005F7F59" w:rsidRDefault="0089063D" w:rsidP="00DC7ADB">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Establishing an interest in another’s property by way of resulting trust, constructive trust and/or proprietary estoppel;</w:t>
            </w:r>
          </w:p>
          <w:p w:rsidR="0089063D" w:rsidRPr="00547ED7" w:rsidRDefault="0089063D" w:rsidP="00DC7ADB">
            <w:pPr>
              <w:pStyle w:val="ListParagraph"/>
              <w:numPr>
                <w:ilvl w:val="0"/>
                <w:numId w:val="1"/>
              </w:numPr>
              <w:spacing w:line="276" w:lineRule="auto"/>
              <w:rPr>
                <w:rFonts w:ascii="Arial" w:hAnsi="Arial" w:cs="Arial"/>
                <w:color w:val="6C6361"/>
                <w:sz w:val="21"/>
                <w:szCs w:val="21"/>
              </w:rPr>
            </w:pPr>
            <w:r w:rsidRPr="005F7F59">
              <w:rPr>
                <w:rFonts w:ascii="Arial" w:hAnsi="Arial" w:cs="Arial"/>
                <w:color w:val="6C6361"/>
                <w:sz w:val="21"/>
                <w:szCs w:val="21"/>
              </w:rPr>
              <w:t>Establishing an interest in a property by way of promissory estoppel.</w:t>
            </w:r>
          </w:p>
        </w:tc>
        <w:tc>
          <w:tcPr>
            <w:tcW w:w="1701" w:type="dxa"/>
            <w:vMerge/>
            <w:tcBorders>
              <w:left w:val="nil"/>
              <w:bottom w:val="nil"/>
            </w:tcBorders>
            <w:shd w:val="clear" w:color="auto" w:fill="FFFFFF" w:themeFill="background1"/>
            <w:vAlign w:val="center"/>
          </w:tcPr>
          <w:p w:rsidR="0089063D" w:rsidRPr="005F7F59" w:rsidRDefault="0089063D" w:rsidP="00DC7ADB">
            <w:pPr>
              <w:spacing w:line="276" w:lineRule="auto"/>
              <w:rPr>
                <w:rFonts w:ascii="Arial" w:hAnsi="Arial" w:cs="Arial"/>
                <w:color w:val="6C6361"/>
                <w:sz w:val="21"/>
                <w:szCs w:val="21"/>
              </w:rPr>
            </w:pPr>
          </w:p>
        </w:tc>
      </w:tr>
    </w:tbl>
    <w:p w:rsidR="00257510" w:rsidRPr="00547ED7" w:rsidRDefault="00257510" w:rsidP="00257510">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89063D" w:rsidRPr="00320F79" w:rsidTr="00ED6053">
        <w:trPr>
          <w:trHeight w:val="397"/>
          <w:jc w:val="center"/>
        </w:trPr>
        <w:tc>
          <w:tcPr>
            <w:tcW w:w="1701" w:type="dxa"/>
            <w:tcBorders>
              <w:top w:val="nil"/>
              <w:left w:val="nil"/>
              <w:bottom w:val="single" w:sz="12" w:space="0" w:color="FFFFFF"/>
            </w:tcBorders>
            <w:shd w:val="clear" w:color="auto" w:fill="F0EBE1"/>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EVT000000251</w:t>
            </w:r>
          </w:p>
        </w:tc>
        <w:tc>
          <w:tcPr>
            <w:tcW w:w="1701" w:type="dxa"/>
            <w:tcBorders>
              <w:top w:val="nil"/>
              <w:bottom w:val="single" w:sz="12" w:space="0" w:color="FFFFFF"/>
            </w:tcBorders>
            <w:shd w:val="clear" w:color="auto" w:fill="F0EBE1"/>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9063D" w:rsidRPr="00320F79" w:rsidTr="00ED6053">
        <w:trPr>
          <w:trHeight w:val="397"/>
          <w:jc w:val="center"/>
        </w:trPr>
        <w:tc>
          <w:tcPr>
            <w:tcW w:w="1701" w:type="dxa"/>
            <w:tcBorders>
              <w:top w:val="single" w:sz="12" w:space="0" w:color="FFFFFF"/>
              <w:left w:val="nil"/>
              <w:bottom w:val="single" w:sz="12" w:space="0" w:color="FFFFFF"/>
            </w:tcBorders>
            <w:shd w:val="clear" w:color="auto" w:fill="F0EBE1"/>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F3ECA">
              <w:rPr>
                <w:rFonts w:ascii="Arial" w:hAnsi="Arial" w:cs="Arial"/>
                <w:b/>
                <w:color w:val="6C6361"/>
                <w:sz w:val="20"/>
                <w:szCs w:val="20"/>
              </w:rPr>
              <w:t>11 October 2018 (Thursday)</w:t>
            </w:r>
          </w:p>
        </w:tc>
        <w:tc>
          <w:tcPr>
            <w:tcW w:w="1701" w:type="dxa"/>
            <w:tcBorders>
              <w:top w:val="single" w:sz="12" w:space="0" w:color="FFFFFF"/>
              <w:bottom w:val="single" w:sz="12" w:space="0" w:color="FFFFFF"/>
            </w:tcBorders>
            <w:shd w:val="clear" w:color="auto" w:fill="F0EBE1"/>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9063D" w:rsidRPr="00320F79" w:rsidTr="00ED6053">
        <w:trPr>
          <w:trHeight w:val="397"/>
          <w:jc w:val="center"/>
        </w:trPr>
        <w:tc>
          <w:tcPr>
            <w:tcW w:w="1701" w:type="dxa"/>
            <w:tcBorders>
              <w:top w:val="single" w:sz="12" w:space="0" w:color="FFFFFF"/>
              <w:left w:val="nil"/>
              <w:bottom w:val="single" w:sz="12" w:space="0" w:color="FFFFFF"/>
            </w:tcBorders>
            <w:shd w:val="clear" w:color="auto" w:fill="F0EBE1"/>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p>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89063D" w:rsidRPr="00320F79"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9063D" w:rsidRPr="00E843DA" w:rsidRDefault="0089063D" w:rsidP="0089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257510" w:rsidRPr="00320F79" w:rsidTr="00ED6053">
        <w:trPr>
          <w:trHeight w:val="1247"/>
          <w:jc w:val="center"/>
        </w:trPr>
        <w:tc>
          <w:tcPr>
            <w:tcW w:w="1701" w:type="dxa"/>
            <w:tcBorders>
              <w:top w:val="single" w:sz="12" w:space="0" w:color="FFFFFF"/>
              <w:left w:val="nil"/>
              <w:bottom w:val="nil"/>
            </w:tcBorders>
            <w:shd w:val="clear" w:color="auto" w:fill="F0EBE1"/>
            <w:vAlign w:val="center"/>
          </w:tcPr>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257510" w:rsidRPr="00320F79" w:rsidRDefault="00257510" w:rsidP="00ED6053">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257510" w:rsidRPr="00320F79"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57510" w:rsidRDefault="00257510" w:rsidP="00ED6053">
            <w:pPr>
              <w:jc w:val="right"/>
              <w:rPr>
                <w:rFonts w:ascii="Arial" w:hAnsi="Arial" w:cs="Arial"/>
                <w:b/>
                <w:color w:val="6C6361"/>
                <w:sz w:val="20"/>
                <w:szCs w:val="20"/>
              </w:rPr>
            </w:pPr>
          </w:p>
          <w:p w:rsidR="00257510" w:rsidRDefault="00257510" w:rsidP="00ED6053">
            <w:pPr>
              <w:jc w:val="right"/>
              <w:rPr>
                <w:rFonts w:ascii="Arial" w:hAnsi="Arial" w:cs="Arial"/>
                <w:b/>
                <w:color w:val="6C6361"/>
                <w:sz w:val="20"/>
                <w:szCs w:val="20"/>
              </w:rPr>
            </w:pPr>
          </w:p>
          <w:p w:rsidR="00257510" w:rsidRPr="00320F79" w:rsidRDefault="00257510" w:rsidP="00ED6053">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338B457" wp14:editId="316B1D5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57510" w:rsidRPr="00E2201B" w:rsidRDefault="00257510" w:rsidP="00ED6053">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57510" w:rsidRPr="003A2A41"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257510" w:rsidRPr="00156567" w:rsidRDefault="00257510" w:rsidP="00ED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5513AC4" wp14:editId="48486FD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57510" w:rsidRDefault="00214BC6" w:rsidP="00257510">
      <w:pPr>
        <w:rPr>
          <w:sz w:val="2"/>
          <w:szCs w:val="2"/>
        </w:rPr>
      </w:pPr>
    </w:p>
    <w:sectPr w:rsidR="00214BC6" w:rsidRPr="0025751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D71" w:rsidRDefault="00173D71" w:rsidP="00546556">
      <w:r>
        <w:separator/>
      </w:r>
    </w:p>
  </w:endnote>
  <w:endnote w:type="continuationSeparator" w:id="0">
    <w:p w:rsidR="00173D71" w:rsidRDefault="00173D7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D71" w:rsidRDefault="00173D71" w:rsidP="00546556">
      <w:r>
        <w:separator/>
      </w:r>
    </w:p>
  </w:footnote>
  <w:footnote w:type="continuationSeparator" w:id="0">
    <w:p w:rsidR="00173D71" w:rsidRDefault="00173D7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pdIwAFIOIg/AslgPTIYZEjY++RsmNXS7hljGdUcW1aPCEcLU4CTt/9ZQJbrQiksqhhIj3/FVHX89XEa/J1kuIQ==" w:salt="Mooj0VagVkx7isJrf+kjn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3D71"/>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510"/>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57F"/>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55C"/>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3D"/>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BDA96-D316-45FD-87B2-B315686D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Informal Interests in Property (2): Equity and the Family Home</vt:lpstr>
    </vt:vector>
  </TitlesOfParts>
  <Manager>Tyrone Tsang</Manager>
  <Company>The Profectional Company Limited</Company>
  <LinksUpToDate>false</LinksUpToDate>
  <CharactersWithSpaces>2750</CharactersWithSpaces>
  <SharedDoc>false</SharedDoc>
  <HyperlinkBase>http://download.profectional.com/events/EVT000000251.docx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Informal Interests in Property (2): Equity and the Family Home</dc:title>
  <dc:subject>CPD Course: Informal Interests in Property (2): Equity and the Family Home</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13</cp:revision>
  <cp:lastPrinted>2017-02-20T14:45:00Z</cp:lastPrinted>
  <dcterms:created xsi:type="dcterms:W3CDTF">2017-01-12T02:41:00Z</dcterms:created>
  <dcterms:modified xsi:type="dcterms:W3CDTF">2018-10-09T15:28:00Z</dcterms:modified>
</cp:coreProperties>
</file>