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5D7" w:rsidRPr="003B45D7" w:rsidRDefault="003B45D7" w:rsidP="003B45D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B45D7" w:rsidRPr="00523A64" w:rsidTr="000E257D">
        <w:trPr>
          <w:trHeight w:val="3119"/>
          <w:jc w:val="center"/>
        </w:trPr>
        <w:tc>
          <w:tcPr>
            <w:tcW w:w="4820" w:type="dxa"/>
            <w:shd w:val="clear" w:color="auto" w:fill="FFFFFF"/>
            <w:vAlign w:val="center"/>
          </w:tcPr>
          <w:p w:rsidR="003B45D7" w:rsidRPr="001A3018" w:rsidRDefault="003B45D7" w:rsidP="000E257D">
            <w:pPr>
              <w:jc w:val="center"/>
              <w:rPr>
                <w:rFonts w:ascii="Arial" w:hAnsi="Arial" w:cs="Arial"/>
                <w:b/>
                <w:bCs/>
                <w:color w:val="524B48"/>
                <w:sz w:val="4"/>
                <w:szCs w:val="4"/>
              </w:rPr>
            </w:pPr>
          </w:p>
          <w:p w:rsidR="003B45D7" w:rsidRPr="000F3FFC" w:rsidRDefault="003B45D7" w:rsidP="000E257D">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Pr>
                <w:rFonts w:ascii="Arial" w:hAnsi="Arial" w:cs="Arial"/>
                <w:b/>
                <w:bCs/>
                <w:color w:val="524B48"/>
                <w:sz w:val="32"/>
                <w:szCs w:val="32"/>
              </w:rPr>
              <w:instrText>HYPERLINK "http://cpd.hk/evt000000260/"</w:instrText>
            </w:r>
            <w:r w:rsidRPr="00B8559C">
              <w:rPr>
                <w:rFonts w:ascii="Arial" w:hAnsi="Arial" w:cs="Arial"/>
                <w:b/>
                <w:bCs/>
                <w:color w:val="524B48"/>
                <w:sz w:val="32"/>
                <w:szCs w:val="32"/>
              </w:rPr>
              <w:fldChar w:fldCharType="separate"/>
            </w:r>
            <w:r w:rsidRPr="000F3FFC">
              <w:rPr>
                <w:rStyle w:val="Hyperlink"/>
                <w:rFonts w:ascii="Arial" w:hAnsi="Arial" w:cs="Arial"/>
                <w:b/>
                <w:bCs/>
                <w:color w:val="524B48"/>
                <w:sz w:val="32"/>
                <w:szCs w:val="32"/>
                <w:u w:val="none"/>
              </w:rPr>
              <w:t xml:space="preserve">Legal Issues of </w:t>
            </w:r>
            <w:proofErr w:type="spellStart"/>
            <w:r w:rsidRPr="000F3FFC">
              <w:rPr>
                <w:rStyle w:val="Hyperlink"/>
                <w:rFonts w:ascii="Arial" w:hAnsi="Arial" w:cs="Arial"/>
                <w:b/>
                <w:bCs/>
                <w:color w:val="524B48"/>
                <w:sz w:val="32"/>
                <w:szCs w:val="32"/>
                <w:u w:val="none"/>
              </w:rPr>
              <w:t>Bitcoin</w:t>
            </w:r>
            <w:proofErr w:type="spellEnd"/>
            <w:r w:rsidRPr="000F3FFC">
              <w:rPr>
                <w:rStyle w:val="Hyperlink"/>
                <w:rFonts w:ascii="Arial" w:hAnsi="Arial" w:cs="Arial"/>
                <w:b/>
                <w:bCs/>
                <w:color w:val="524B48"/>
                <w:sz w:val="32"/>
                <w:szCs w:val="32"/>
                <w:u w:val="none"/>
              </w:rPr>
              <w:t>,</w:t>
            </w:r>
          </w:p>
          <w:p w:rsidR="003B45D7" w:rsidRPr="000F3FFC" w:rsidRDefault="003B45D7" w:rsidP="000E257D">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Initial Coin Offerings</w:t>
            </w:r>
          </w:p>
          <w:p w:rsidR="003B45D7" w:rsidRPr="000F3FFC" w:rsidRDefault="003B45D7" w:rsidP="000E257D">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(ICO) and Other</w:t>
            </w:r>
          </w:p>
          <w:p w:rsidR="003B45D7" w:rsidRPr="00B8559C" w:rsidRDefault="003B45D7" w:rsidP="000E257D">
            <w:pPr>
              <w:jc w:val="center"/>
              <w:rPr>
                <w:rStyle w:val="Hyperlink"/>
                <w:rFonts w:ascii="Arial" w:hAnsi="Arial" w:cs="Arial"/>
                <w:b/>
                <w:bCs/>
                <w:color w:val="524B48"/>
                <w:sz w:val="32"/>
                <w:szCs w:val="32"/>
                <w:u w:val="none"/>
              </w:rPr>
            </w:pPr>
            <w:r w:rsidRPr="000F3FFC">
              <w:rPr>
                <w:rStyle w:val="Hyperlink"/>
                <w:rFonts w:ascii="Arial" w:hAnsi="Arial" w:cs="Arial"/>
                <w:b/>
                <w:bCs/>
                <w:color w:val="524B48"/>
                <w:sz w:val="32"/>
                <w:szCs w:val="32"/>
                <w:u w:val="none"/>
              </w:rPr>
              <w:t>"</w:t>
            </w:r>
            <w:proofErr w:type="spellStart"/>
            <w:r w:rsidRPr="000F3FFC">
              <w:rPr>
                <w:rStyle w:val="Hyperlink"/>
                <w:rFonts w:ascii="Arial" w:hAnsi="Arial" w:cs="Arial"/>
                <w:b/>
                <w:bCs/>
                <w:color w:val="524B48"/>
                <w:sz w:val="32"/>
                <w:szCs w:val="32"/>
                <w:u w:val="none"/>
              </w:rPr>
              <w:t>Cryptocurrencies</w:t>
            </w:r>
            <w:proofErr w:type="spellEnd"/>
            <w:r w:rsidRPr="000F3FFC">
              <w:rPr>
                <w:rStyle w:val="Hyperlink"/>
                <w:rFonts w:ascii="Arial" w:hAnsi="Arial" w:cs="Arial"/>
                <w:b/>
                <w:bCs/>
                <w:color w:val="524B48"/>
                <w:sz w:val="32"/>
                <w:szCs w:val="32"/>
                <w:u w:val="none"/>
              </w:rPr>
              <w:t>"</w:t>
            </w:r>
          </w:p>
          <w:p w:rsidR="003B45D7" w:rsidRPr="003D25E0" w:rsidRDefault="003B45D7" w:rsidP="000E257D">
            <w:pPr>
              <w:jc w:val="center"/>
              <w:rPr>
                <w:rFonts w:ascii="Arial" w:hAnsi="Arial" w:cs="Arial"/>
                <w:b/>
                <w:bCs/>
                <w:sz w:val="24"/>
                <w:szCs w:val="28"/>
              </w:rPr>
            </w:pPr>
            <w:r w:rsidRPr="00B8559C">
              <w:rPr>
                <w:rFonts w:ascii="Arial" w:hAnsi="Arial" w:cs="Arial"/>
                <w:b/>
                <w:bCs/>
                <w:color w:val="524B48"/>
                <w:sz w:val="32"/>
                <w:szCs w:val="32"/>
              </w:rPr>
              <w:fldChar w:fldCharType="end"/>
            </w:r>
          </w:p>
          <w:p w:rsidR="003B45D7" w:rsidRPr="007E00C3" w:rsidRDefault="003B45D7" w:rsidP="000E257D">
            <w:pPr>
              <w:jc w:val="center"/>
              <w:rPr>
                <w:rFonts w:ascii="Arial" w:hAnsi="Arial" w:cs="Arial"/>
                <w:i/>
                <w:color w:val="6C6361"/>
                <w:sz w:val="23"/>
                <w:szCs w:val="23"/>
              </w:rPr>
            </w:pPr>
            <w:r w:rsidRPr="007E00C3">
              <w:rPr>
                <w:rFonts w:ascii="Arial" w:hAnsi="Arial" w:cs="Arial"/>
                <w:i/>
                <w:color w:val="6C6361"/>
                <w:sz w:val="23"/>
                <w:szCs w:val="23"/>
              </w:rPr>
              <w:t>by</w:t>
            </w:r>
          </w:p>
          <w:p w:rsidR="003B45D7" w:rsidRPr="007E00C3" w:rsidRDefault="003B45D7" w:rsidP="000E257D">
            <w:pPr>
              <w:jc w:val="center"/>
              <w:rPr>
                <w:rFonts w:ascii="Arial" w:hAnsi="Arial" w:cs="Arial"/>
                <w:color w:val="524B48"/>
                <w:sz w:val="23"/>
                <w:szCs w:val="23"/>
              </w:rPr>
            </w:pPr>
            <w:hyperlink r:id="rId8" w:history="1">
              <w:r w:rsidRPr="007E00C3">
                <w:rPr>
                  <w:rStyle w:val="Hyperlink"/>
                  <w:rFonts w:ascii="Arial" w:hAnsi="Arial" w:cs="Arial"/>
                  <w:color w:val="6C6361"/>
                  <w:sz w:val="23"/>
                  <w:szCs w:val="23"/>
                  <w:u w:val="none"/>
                </w:rPr>
                <w:t>M</w:t>
              </w:r>
              <w:r>
                <w:rPr>
                  <w:rStyle w:val="Hyperlink"/>
                  <w:rFonts w:ascii="Arial" w:hAnsi="Arial" w:cs="Arial"/>
                  <w:color w:val="6C6361"/>
                  <w:sz w:val="23"/>
                  <w:szCs w:val="23"/>
                  <w:u w:val="none"/>
                </w:rPr>
                <w:t>r. Albert So</w:t>
              </w:r>
            </w:hyperlink>
            <w:r w:rsidRPr="007E00C3">
              <w:rPr>
                <w:rFonts w:ascii="Arial" w:hAnsi="Arial" w:cs="Arial"/>
                <w:color w:val="524B48"/>
                <w:sz w:val="23"/>
                <w:szCs w:val="23"/>
              </w:rPr>
              <w:t>,</w:t>
            </w:r>
          </w:p>
          <w:p w:rsidR="003B45D7" w:rsidRDefault="003B45D7" w:rsidP="000E257D">
            <w:pPr>
              <w:jc w:val="center"/>
              <w:rPr>
                <w:rFonts w:ascii="Arial" w:hAnsi="Arial" w:cs="Arial"/>
                <w:color w:val="6C6361"/>
                <w:sz w:val="23"/>
                <w:szCs w:val="23"/>
              </w:rPr>
            </w:pPr>
            <w:proofErr w:type="spellStart"/>
            <w:r>
              <w:rPr>
                <w:rFonts w:ascii="Arial" w:hAnsi="Arial" w:cs="Arial"/>
                <w:color w:val="6C6361"/>
                <w:sz w:val="23"/>
                <w:szCs w:val="23"/>
              </w:rPr>
              <w:t>Practising</w:t>
            </w:r>
            <w:proofErr w:type="spellEnd"/>
            <w:r>
              <w:rPr>
                <w:rFonts w:ascii="Arial" w:hAnsi="Arial" w:cs="Arial"/>
                <w:color w:val="6C6361"/>
                <w:sz w:val="23"/>
                <w:szCs w:val="23"/>
              </w:rPr>
              <w:t xml:space="preserve"> Solicitor,</w:t>
            </w:r>
          </w:p>
          <w:p w:rsidR="003B45D7" w:rsidRDefault="003B45D7" w:rsidP="000E257D">
            <w:pPr>
              <w:jc w:val="center"/>
              <w:rPr>
                <w:rFonts w:ascii="Arial" w:hAnsi="Arial" w:cs="Arial"/>
                <w:color w:val="6C6361"/>
                <w:sz w:val="23"/>
                <w:szCs w:val="23"/>
              </w:rPr>
            </w:pPr>
            <w:r w:rsidRPr="000F3FFC">
              <w:rPr>
                <w:rFonts w:ascii="Arial" w:hAnsi="Arial" w:cs="Arial"/>
                <w:color w:val="6C6361"/>
                <w:sz w:val="23"/>
                <w:szCs w:val="23"/>
              </w:rPr>
              <w:t>Financial Dispute Resolution Centre</w:t>
            </w:r>
          </w:p>
          <w:p w:rsidR="003B45D7" w:rsidRDefault="003B45D7" w:rsidP="000E257D">
            <w:pPr>
              <w:jc w:val="center"/>
              <w:rPr>
                <w:rFonts w:ascii="Arial" w:hAnsi="Arial" w:cs="Arial"/>
                <w:color w:val="6C6361"/>
                <w:sz w:val="23"/>
                <w:szCs w:val="23"/>
              </w:rPr>
            </w:pPr>
            <w:r>
              <w:rPr>
                <w:rFonts w:ascii="Arial" w:hAnsi="Arial" w:cs="Arial"/>
                <w:color w:val="6C6361"/>
                <w:sz w:val="23"/>
                <w:szCs w:val="23"/>
              </w:rPr>
              <w:t>Mediator,</w:t>
            </w:r>
          </w:p>
          <w:p w:rsidR="003B45D7" w:rsidRDefault="003B45D7" w:rsidP="000E257D">
            <w:pPr>
              <w:jc w:val="center"/>
              <w:rPr>
                <w:rFonts w:ascii="Arial" w:hAnsi="Arial" w:cs="Arial"/>
                <w:color w:val="6C6361"/>
                <w:sz w:val="23"/>
                <w:szCs w:val="23"/>
              </w:rPr>
            </w:pPr>
            <w:r>
              <w:rPr>
                <w:rFonts w:ascii="Arial" w:hAnsi="Arial" w:cs="Arial"/>
                <w:color w:val="6C6361"/>
                <w:sz w:val="23"/>
                <w:szCs w:val="23"/>
              </w:rPr>
              <w:t>Accredited General Mediator,</w:t>
            </w:r>
          </w:p>
          <w:p w:rsidR="003B45D7" w:rsidRDefault="003B45D7" w:rsidP="000E257D">
            <w:pPr>
              <w:jc w:val="center"/>
              <w:rPr>
                <w:rFonts w:ascii="Arial" w:hAnsi="Arial" w:cs="Arial"/>
                <w:color w:val="6C6361"/>
                <w:sz w:val="23"/>
                <w:szCs w:val="23"/>
              </w:rPr>
            </w:pPr>
            <w:r>
              <w:rPr>
                <w:rFonts w:ascii="Arial" w:hAnsi="Arial" w:cs="Arial"/>
                <w:color w:val="6C6361"/>
                <w:sz w:val="23"/>
                <w:szCs w:val="23"/>
              </w:rPr>
              <w:t>Accredited Family Mediator,</w:t>
            </w:r>
          </w:p>
          <w:p w:rsidR="003B45D7" w:rsidRDefault="003B45D7" w:rsidP="000E257D">
            <w:pPr>
              <w:jc w:val="center"/>
              <w:rPr>
                <w:rFonts w:ascii="Arial" w:hAnsi="Arial" w:cs="Arial"/>
                <w:color w:val="6C6361"/>
                <w:sz w:val="23"/>
                <w:szCs w:val="23"/>
              </w:rPr>
            </w:pPr>
            <w:r>
              <w:rPr>
                <w:rFonts w:ascii="Arial" w:hAnsi="Arial" w:cs="Arial"/>
                <w:color w:val="6C6361"/>
                <w:sz w:val="23"/>
                <w:szCs w:val="23"/>
              </w:rPr>
              <w:t>Arbitrator, University Lecturer,</w:t>
            </w:r>
          </w:p>
          <w:p w:rsidR="003B45D7" w:rsidRPr="003D25E0" w:rsidRDefault="003B45D7" w:rsidP="000E257D">
            <w:pPr>
              <w:jc w:val="center"/>
              <w:rPr>
                <w:rFonts w:ascii="Arial" w:hAnsi="Arial" w:cs="Arial"/>
                <w:color w:val="6C6361"/>
                <w:sz w:val="4"/>
                <w:szCs w:val="23"/>
              </w:rPr>
            </w:pPr>
            <w:r w:rsidRPr="0019414A">
              <w:rPr>
                <w:rFonts w:ascii="Arial" w:hAnsi="Arial" w:cs="Arial"/>
                <w:color w:val="6C6361"/>
                <w:sz w:val="23"/>
                <w:szCs w:val="23"/>
              </w:rPr>
              <w:t>Fellow of International Bar Association</w:t>
            </w:r>
          </w:p>
          <w:p w:rsidR="003B45D7" w:rsidRPr="001A3018" w:rsidRDefault="003B45D7" w:rsidP="000E257D">
            <w:pPr>
              <w:jc w:val="center"/>
              <w:rPr>
                <w:rFonts w:ascii="Arial" w:hAnsi="Arial" w:cs="Arial"/>
                <w:color w:val="6C6361"/>
                <w:sz w:val="4"/>
                <w:szCs w:val="4"/>
              </w:rPr>
            </w:pPr>
          </w:p>
        </w:tc>
        <w:tc>
          <w:tcPr>
            <w:tcW w:w="5954" w:type="dxa"/>
            <w:shd w:val="clear" w:color="auto" w:fill="FFFFFF"/>
            <w:vAlign w:val="center"/>
          </w:tcPr>
          <w:p w:rsidR="003B45D7" w:rsidRPr="00D50772" w:rsidRDefault="003B45D7" w:rsidP="000E257D">
            <w:pPr>
              <w:spacing w:line="276" w:lineRule="auto"/>
              <w:jc w:val="center"/>
              <w:rPr>
                <w:rFonts w:ascii="Arial" w:eastAsia="Times New Roman" w:hAnsi="Arial" w:cs="Arial"/>
                <w:noProof/>
                <w:sz w:val="20"/>
                <w:szCs w:val="20"/>
              </w:rPr>
            </w:pPr>
            <w:r w:rsidRPr="000E255B">
              <w:rPr>
                <w:rFonts w:ascii="Arial" w:eastAsia="Times New Roman" w:hAnsi="Arial" w:cs="Arial"/>
                <w:noProof/>
                <w:sz w:val="20"/>
                <w:szCs w:val="20"/>
              </w:rPr>
              <w:drawing>
                <wp:anchor distT="0" distB="0" distL="114300" distR="114300" simplePos="0" relativeHeight="251659264" behindDoc="0" locked="0" layoutInCell="1" allowOverlap="0" wp14:anchorId="4692EC11" wp14:editId="0D771C19">
                  <wp:simplePos x="0" y="0"/>
                  <wp:positionH relativeFrom="column">
                    <wp:posOffset>3175635</wp:posOffset>
                  </wp:positionH>
                  <wp:positionV relativeFrom="paragraph">
                    <wp:posOffset>-321945</wp:posOffset>
                  </wp:positionV>
                  <wp:extent cx="539750" cy="546735"/>
                  <wp:effectExtent l="0" t="0" r="0" b="5715"/>
                  <wp:wrapNone/>
                  <wp:docPr id="17" name="Pictur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2E26">
              <w:rPr>
                <w:rFonts w:ascii="Arial" w:eastAsia="Times New Roman" w:hAnsi="Arial" w:cs="Arial"/>
                <w:noProof/>
                <w:sz w:val="20"/>
                <w:szCs w:val="20"/>
              </w:rPr>
              <w:t xml:space="preserve"> </w:t>
            </w:r>
            <w:r>
              <w:rPr>
                <w:rFonts w:ascii="Arial" w:eastAsia="Times New Roman" w:hAnsi="Arial" w:cs="Arial"/>
                <w:noProof/>
                <w:sz w:val="20"/>
                <w:szCs w:val="20"/>
              </w:rPr>
              <w:drawing>
                <wp:inline distT="0" distB="0" distL="0" distR="0" wp14:anchorId="2D7DAF58" wp14:editId="49BC88A7">
                  <wp:extent cx="3657600" cy="1828800"/>
                  <wp:effectExtent l="0" t="0" r="0" b="0"/>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B45D7" w:rsidRPr="00057FC7" w:rsidRDefault="003B45D7" w:rsidP="003B45D7">
      <w:pPr>
        <w:spacing w:line="276" w:lineRule="auto"/>
        <w:jc w:val="left"/>
        <w:rPr>
          <w:rFonts w:ascii="Arial" w:hAnsi="Arial" w:cs="Arial"/>
          <w:sz w:val="14"/>
          <w:szCs w:val="18"/>
        </w:rPr>
      </w:pPr>
    </w:p>
    <w:tbl>
      <w:tblPr>
        <w:tblW w:w="10773" w:type="dxa"/>
        <w:jc w:val="center"/>
        <w:tblLook w:val="04A0" w:firstRow="1" w:lastRow="0" w:firstColumn="1" w:lastColumn="0" w:noHBand="0" w:noVBand="1"/>
      </w:tblPr>
      <w:tblGrid>
        <w:gridCol w:w="1985"/>
        <w:gridCol w:w="8788"/>
      </w:tblGrid>
      <w:tr w:rsidR="003B45D7" w:rsidRPr="000F3FFC" w:rsidTr="000E257D">
        <w:trPr>
          <w:trHeight w:val="2495"/>
          <w:jc w:val="center"/>
        </w:trPr>
        <w:tc>
          <w:tcPr>
            <w:tcW w:w="1985" w:type="dxa"/>
            <w:shd w:val="clear" w:color="auto" w:fill="FFFFFF"/>
            <w:vAlign w:val="center"/>
          </w:tcPr>
          <w:p w:rsidR="003B45D7" w:rsidRPr="000F3FFC" w:rsidRDefault="003B45D7" w:rsidP="000E257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60D345A8" wp14:editId="242439D1">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B45D7" w:rsidRPr="000F3FFC" w:rsidRDefault="003B45D7" w:rsidP="003B45D7">
            <w:pPr>
              <w:pStyle w:val="NormalWeb"/>
              <w:spacing w:before="0" w:beforeAutospacing="0" w:after="0" w:afterAutospacing="0"/>
              <w:jc w:val="both"/>
              <w:rPr>
                <w:rFonts w:ascii="Arial" w:hAnsi="Arial" w:cs="Arial"/>
                <w:color w:val="6C6361"/>
                <w:sz w:val="22"/>
                <w:szCs w:val="20"/>
              </w:rPr>
            </w:pPr>
            <w:r w:rsidRPr="000F3FFC">
              <w:rPr>
                <w:rFonts w:ascii="Arial" w:hAnsi="Arial" w:cs="Arial"/>
                <w:color w:val="6C6361"/>
                <w:sz w:val="22"/>
                <w:szCs w:val="20"/>
              </w:rPr>
              <w:t xml:space="preserve">Mr. Albert So, </w:t>
            </w:r>
            <w:proofErr w:type="spellStart"/>
            <w:r w:rsidRPr="000F3FFC">
              <w:rPr>
                <w:rFonts w:ascii="Arial" w:hAnsi="Arial" w:cs="Arial"/>
                <w:color w:val="6C6361"/>
                <w:sz w:val="22"/>
                <w:szCs w:val="20"/>
              </w:rPr>
              <w:t>practising</w:t>
            </w:r>
            <w:proofErr w:type="spellEnd"/>
            <w:r w:rsidRPr="000F3FFC">
              <w:rPr>
                <w:rFonts w:ascii="Arial" w:hAnsi="Arial" w:cs="Arial"/>
                <w:color w:val="6C6361"/>
                <w:sz w:val="22"/>
                <w:szCs w:val="20"/>
              </w:rPr>
              <w:t xml:space="preserve"> solicitor of High Court of Hong Kong and the Chairman of Hong Kong Mediation and Arbitration Centre.  Over the past years, he has been responsible for handling financial crime prosecutions, and has also been the lecturer of various law and mediation </w:t>
            </w:r>
            <w:proofErr w:type="spellStart"/>
            <w:r w:rsidRPr="000F3FFC">
              <w:rPr>
                <w:rFonts w:ascii="Arial" w:hAnsi="Arial" w:cs="Arial"/>
                <w:color w:val="6C6361"/>
                <w:sz w:val="22"/>
                <w:szCs w:val="20"/>
              </w:rPr>
              <w:t>programmes</w:t>
            </w:r>
            <w:proofErr w:type="spellEnd"/>
            <w:r w:rsidRPr="000F3FFC">
              <w:rPr>
                <w:rFonts w:ascii="Arial" w:hAnsi="Arial" w:cs="Arial"/>
                <w:color w:val="6C6361"/>
                <w:sz w:val="22"/>
                <w:szCs w:val="20"/>
              </w:rPr>
              <w:t xml:space="preserve"> in Hong Kong and overseas universities.</w:t>
            </w:r>
          </w:p>
          <w:p w:rsidR="003B45D7" w:rsidRPr="000F3FFC" w:rsidRDefault="003B45D7" w:rsidP="003B45D7">
            <w:pPr>
              <w:pStyle w:val="NormalWeb"/>
              <w:spacing w:before="0" w:beforeAutospacing="0" w:after="0" w:afterAutospacing="0"/>
              <w:jc w:val="both"/>
              <w:rPr>
                <w:rFonts w:ascii="Arial" w:hAnsi="Arial" w:cs="Arial"/>
                <w:color w:val="6C6361"/>
                <w:sz w:val="10"/>
                <w:szCs w:val="10"/>
              </w:rPr>
            </w:pPr>
          </w:p>
          <w:p w:rsidR="003B45D7" w:rsidRPr="000F3FFC" w:rsidRDefault="003B45D7" w:rsidP="003B45D7">
            <w:pPr>
              <w:pStyle w:val="NormalWeb"/>
              <w:spacing w:before="0" w:beforeAutospacing="0" w:after="0" w:afterAutospacing="0"/>
              <w:jc w:val="both"/>
              <w:rPr>
                <w:rFonts w:ascii="Arial" w:hAnsi="Arial" w:cs="Arial"/>
                <w:color w:val="6C6361"/>
                <w:sz w:val="20"/>
                <w:szCs w:val="20"/>
              </w:rPr>
            </w:pPr>
            <w:r w:rsidRPr="000F3FFC">
              <w:rPr>
                <w:rFonts w:ascii="Arial" w:hAnsi="Arial" w:cs="Arial"/>
                <w:color w:val="6C6361"/>
                <w:sz w:val="22"/>
                <w:szCs w:val="20"/>
              </w:rPr>
              <w:t>Before Mr. So joined the legal profession, he had been one of the team members of a financial regulatory authority, responsible for conducting criminal investigation, handling litigation and disciplinary-related professional proceedings.  Throughout his professional time as a regulator, he had personally handled over 800 financial disputes and their relevant litigations.</w:t>
            </w:r>
          </w:p>
        </w:tc>
      </w:tr>
    </w:tbl>
    <w:p w:rsidR="003B45D7" w:rsidRPr="00057FC7" w:rsidRDefault="003B45D7" w:rsidP="003B45D7">
      <w:pPr>
        <w:spacing w:line="276" w:lineRule="auto"/>
        <w:jc w:val="left"/>
        <w:rPr>
          <w:rFonts w:ascii="Arial" w:hAnsi="Arial" w:cs="Arial"/>
          <w:sz w:val="14"/>
          <w:szCs w:val="18"/>
        </w:rPr>
      </w:pPr>
    </w:p>
    <w:tbl>
      <w:tblPr>
        <w:tblW w:w="10773" w:type="dxa"/>
        <w:jc w:val="center"/>
        <w:tblBorders>
          <w:bottom w:val="single" w:sz="12" w:space="0" w:color="FFFFFF" w:themeColor="background1"/>
        </w:tblBorders>
        <w:tblLook w:val="04A0" w:firstRow="1" w:lastRow="0" w:firstColumn="1" w:lastColumn="0" w:noHBand="0" w:noVBand="1"/>
      </w:tblPr>
      <w:tblGrid>
        <w:gridCol w:w="5387"/>
        <w:gridCol w:w="3544"/>
        <w:gridCol w:w="1842"/>
      </w:tblGrid>
      <w:tr w:rsidR="003B45D7" w:rsidRPr="00057FC7" w:rsidTr="000E257D">
        <w:trPr>
          <w:trHeight w:val="2070"/>
          <w:jc w:val="center"/>
        </w:trPr>
        <w:tc>
          <w:tcPr>
            <w:tcW w:w="10773" w:type="dxa"/>
            <w:gridSpan w:val="3"/>
            <w:tcBorders>
              <w:top w:val="nil"/>
              <w:bottom w:val="nil"/>
            </w:tcBorders>
            <w:shd w:val="clear" w:color="auto" w:fill="FFFFFF" w:themeFill="background1"/>
            <w:vAlign w:val="center"/>
          </w:tcPr>
          <w:p w:rsidR="003B45D7" w:rsidRPr="00057FC7" w:rsidRDefault="003B45D7" w:rsidP="000E257D">
            <w:pPr>
              <w:spacing w:line="276" w:lineRule="auto"/>
              <w:rPr>
                <w:rFonts w:ascii="Arial" w:hAnsi="Arial" w:cs="Arial"/>
                <w:color w:val="6C6361"/>
                <w:sz w:val="19"/>
                <w:szCs w:val="19"/>
              </w:rPr>
            </w:pPr>
            <w:r w:rsidRPr="00057FC7">
              <w:rPr>
                <w:rFonts w:ascii="Arial" w:hAnsi="Arial" w:cs="Arial"/>
                <w:color w:val="6C6361"/>
                <w:sz w:val="19"/>
                <w:szCs w:val="19"/>
              </w:rPr>
              <w:t xml:space="preserve">The popularity of </w:t>
            </w:r>
            <w:proofErr w:type="spellStart"/>
            <w:r w:rsidRPr="00057FC7">
              <w:rPr>
                <w:rFonts w:ascii="Arial" w:hAnsi="Arial" w:cs="Arial"/>
                <w:color w:val="6C6361"/>
                <w:sz w:val="19"/>
                <w:szCs w:val="19"/>
              </w:rPr>
              <w:t>Bitcoin</w:t>
            </w:r>
            <w:proofErr w:type="spellEnd"/>
            <w:r w:rsidRPr="00057FC7">
              <w:rPr>
                <w:rFonts w:ascii="Arial" w:hAnsi="Arial" w:cs="Arial"/>
                <w:color w:val="6C6361"/>
                <w:sz w:val="19"/>
                <w:szCs w:val="19"/>
              </w:rPr>
              <w:t xml:space="preserve"> has inspired the introduction of other </w:t>
            </w:r>
            <w:proofErr w:type="spellStart"/>
            <w:r w:rsidRPr="00057FC7">
              <w:rPr>
                <w:rFonts w:ascii="Arial" w:hAnsi="Arial" w:cs="Arial"/>
                <w:color w:val="6C6361"/>
                <w:sz w:val="19"/>
                <w:szCs w:val="19"/>
              </w:rPr>
              <w:t>cryptocurrencies</w:t>
            </w:r>
            <w:proofErr w:type="spellEnd"/>
            <w:r w:rsidRPr="00057FC7">
              <w:rPr>
                <w:rFonts w:ascii="Arial" w:hAnsi="Arial" w:cs="Arial"/>
                <w:color w:val="6C6361"/>
                <w:sz w:val="19"/>
                <w:szCs w:val="19"/>
              </w:rPr>
              <w:t xml:space="preserve"> and given rise to initial coin (or token) offerings (ICO), which are typically online fundraising activities for </w:t>
            </w:r>
            <w:proofErr w:type="spellStart"/>
            <w:r w:rsidRPr="00057FC7">
              <w:rPr>
                <w:rFonts w:ascii="Arial" w:hAnsi="Arial" w:cs="Arial"/>
                <w:color w:val="6C6361"/>
                <w:sz w:val="19"/>
                <w:szCs w:val="19"/>
              </w:rPr>
              <w:t>blockchain</w:t>
            </w:r>
            <w:proofErr w:type="spellEnd"/>
            <w:r w:rsidRPr="00057FC7">
              <w:rPr>
                <w:rFonts w:ascii="Arial" w:hAnsi="Arial" w:cs="Arial"/>
                <w:color w:val="6C6361"/>
                <w:sz w:val="19"/>
                <w:szCs w:val="19"/>
              </w:rPr>
              <w:t xml:space="preserve"> technology-related projects.  Although certain ICOs have made the headlines by raising millions of dollars within minutes or hours, from an investor's perspective, participating in an ICO may pose significant legal risks.</w:t>
            </w:r>
          </w:p>
          <w:p w:rsidR="003B45D7" w:rsidRPr="00057FC7" w:rsidRDefault="003B45D7" w:rsidP="000E257D">
            <w:pPr>
              <w:spacing w:line="276" w:lineRule="auto"/>
              <w:rPr>
                <w:rFonts w:ascii="Arial" w:hAnsi="Arial" w:cs="Arial"/>
                <w:color w:val="6C6361"/>
                <w:sz w:val="10"/>
                <w:szCs w:val="10"/>
              </w:rPr>
            </w:pPr>
          </w:p>
          <w:p w:rsidR="003B45D7" w:rsidRPr="00057FC7" w:rsidRDefault="003B45D7" w:rsidP="000E257D">
            <w:pPr>
              <w:spacing w:line="276" w:lineRule="auto"/>
              <w:rPr>
                <w:rFonts w:ascii="Arial" w:hAnsi="Arial" w:cs="Arial"/>
                <w:color w:val="6C6361"/>
                <w:sz w:val="19"/>
                <w:szCs w:val="19"/>
              </w:rPr>
            </w:pPr>
            <w:r w:rsidRPr="00057FC7">
              <w:rPr>
                <w:rFonts w:ascii="Arial" w:hAnsi="Arial" w:cs="Arial"/>
                <w:color w:val="6C6361"/>
                <w:sz w:val="19"/>
                <w:szCs w:val="19"/>
              </w:rPr>
              <w:t xml:space="preserve">A combination of interactive lectures, case studies, practical scenario trainings, role-play sessions, group discussion/sharing will be used in the seminar.  Upon the completion, participants should be able to acquire the necessary </w:t>
            </w:r>
            <w:proofErr w:type="spellStart"/>
            <w:r w:rsidRPr="00057FC7">
              <w:rPr>
                <w:rFonts w:ascii="Arial" w:hAnsi="Arial" w:cs="Arial"/>
                <w:color w:val="6C6361"/>
                <w:sz w:val="19"/>
                <w:szCs w:val="19"/>
              </w:rPr>
              <w:t>Fintech</w:t>
            </w:r>
            <w:proofErr w:type="spellEnd"/>
            <w:r w:rsidRPr="00057FC7">
              <w:rPr>
                <w:rFonts w:ascii="Arial" w:hAnsi="Arial" w:cs="Arial"/>
                <w:color w:val="6C6361"/>
                <w:sz w:val="19"/>
                <w:szCs w:val="19"/>
              </w:rPr>
              <w:t>, corporate finance, legal, compliance and regulatory professional knowledge and identify the common issues to perform their daily duties effectively.</w:t>
            </w:r>
          </w:p>
        </w:tc>
      </w:tr>
      <w:tr w:rsidR="003B45D7" w:rsidRPr="00057FC7" w:rsidTr="000E257D">
        <w:trPr>
          <w:trHeight w:val="340"/>
          <w:jc w:val="center"/>
        </w:trPr>
        <w:tc>
          <w:tcPr>
            <w:tcW w:w="8931" w:type="dxa"/>
            <w:gridSpan w:val="2"/>
            <w:tcBorders>
              <w:top w:val="nil"/>
              <w:bottom w:val="nil"/>
              <w:right w:val="nil"/>
            </w:tcBorders>
            <w:shd w:val="clear" w:color="auto" w:fill="F0EBE1"/>
            <w:vAlign w:val="center"/>
          </w:tcPr>
          <w:p w:rsidR="003B45D7" w:rsidRPr="00057FC7" w:rsidRDefault="003B45D7" w:rsidP="000E257D">
            <w:pPr>
              <w:spacing w:line="276" w:lineRule="auto"/>
              <w:jc w:val="left"/>
              <w:rPr>
                <w:rFonts w:ascii="Arial" w:hAnsi="Arial" w:cs="Arial"/>
                <w:b/>
                <w:color w:val="524B48"/>
                <w:sz w:val="19"/>
                <w:szCs w:val="19"/>
              </w:rPr>
            </w:pPr>
            <w:r w:rsidRPr="00057FC7">
              <w:rPr>
                <w:rFonts w:ascii="Arial" w:hAnsi="Arial" w:cs="Arial"/>
                <w:b/>
                <w:color w:val="524B48"/>
                <w:sz w:val="19"/>
                <w:szCs w:val="19"/>
              </w:rPr>
              <w:t>Topics to be covered include:</w:t>
            </w:r>
          </w:p>
        </w:tc>
        <w:tc>
          <w:tcPr>
            <w:tcW w:w="1842" w:type="dxa"/>
            <w:vMerge w:val="restart"/>
            <w:tcBorders>
              <w:top w:val="nil"/>
              <w:left w:val="nil"/>
              <w:bottom w:val="nil"/>
            </w:tcBorders>
            <w:shd w:val="clear" w:color="auto" w:fill="FFFFFF" w:themeFill="background1"/>
            <w:vAlign w:val="center"/>
          </w:tcPr>
          <w:p w:rsidR="003B45D7" w:rsidRPr="00057FC7" w:rsidRDefault="003B45D7" w:rsidP="000E257D">
            <w:pPr>
              <w:spacing w:line="276" w:lineRule="auto"/>
              <w:jc w:val="center"/>
              <w:rPr>
                <w:rFonts w:ascii="Arial" w:hAnsi="Arial" w:cs="Arial"/>
                <w:b/>
                <w:color w:val="524B48"/>
                <w:sz w:val="10"/>
                <w:szCs w:val="19"/>
              </w:rPr>
            </w:pPr>
          </w:p>
          <w:p w:rsidR="003B45D7" w:rsidRPr="00057FC7" w:rsidRDefault="003B45D7" w:rsidP="000E257D">
            <w:pPr>
              <w:spacing w:line="276" w:lineRule="auto"/>
              <w:jc w:val="center"/>
              <w:rPr>
                <w:rFonts w:ascii="Arial" w:hAnsi="Arial" w:cs="Arial"/>
                <w:b/>
                <w:color w:val="524B48"/>
                <w:sz w:val="19"/>
                <w:szCs w:val="19"/>
              </w:rPr>
            </w:pPr>
            <w:r w:rsidRPr="000E255B">
              <w:rPr>
                <w:rFonts w:ascii="Arial" w:hAnsi="Arial" w:cs="Arial"/>
                <w:noProof/>
                <w:color w:val="6C6361"/>
                <w:sz w:val="19"/>
                <w:szCs w:val="19"/>
              </w:rPr>
              <w:drawing>
                <wp:inline distT="0" distB="0" distL="0" distR="0" wp14:anchorId="1CCABD1A" wp14:editId="28C54E70">
                  <wp:extent cx="900000" cy="10260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00" cy="1026000"/>
                          </a:xfrm>
                          <a:prstGeom prst="rect">
                            <a:avLst/>
                          </a:prstGeom>
                          <a:noFill/>
                          <a:ln>
                            <a:noFill/>
                          </a:ln>
                        </pic:spPr>
                      </pic:pic>
                    </a:graphicData>
                  </a:graphic>
                </wp:inline>
              </w:drawing>
            </w:r>
          </w:p>
        </w:tc>
      </w:tr>
      <w:tr w:rsidR="003B45D7" w:rsidRPr="00057FC7" w:rsidTr="000E257D">
        <w:trPr>
          <w:trHeight w:val="1722"/>
          <w:jc w:val="center"/>
        </w:trPr>
        <w:tc>
          <w:tcPr>
            <w:tcW w:w="5387" w:type="dxa"/>
            <w:tcBorders>
              <w:top w:val="nil"/>
              <w:bottom w:val="nil"/>
              <w:right w:val="nil"/>
            </w:tcBorders>
            <w:shd w:val="clear" w:color="auto" w:fill="FFFFFF" w:themeFill="background1"/>
            <w:vAlign w:val="center"/>
          </w:tcPr>
          <w:p w:rsidR="003B45D7" w:rsidRPr="00057FC7" w:rsidRDefault="003B45D7" w:rsidP="000E257D">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Legal issue of "</w:t>
            </w:r>
            <w:proofErr w:type="spellStart"/>
            <w:r w:rsidRPr="00057FC7">
              <w:rPr>
                <w:rFonts w:ascii="Arial" w:hAnsi="Arial" w:cs="Arial"/>
                <w:color w:val="6C6361"/>
                <w:sz w:val="19"/>
                <w:szCs w:val="19"/>
              </w:rPr>
              <w:t>Bitcoin</w:t>
            </w:r>
            <w:proofErr w:type="spellEnd"/>
            <w:r w:rsidRPr="00057FC7">
              <w:rPr>
                <w:rFonts w:ascii="Arial" w:hAnsi="Arial" w:cs="Arial"/>
                <w:color w:val="6C6361"/>
                <w:sz w:val="19"/>
                <w:szCs w:val="19"/>
              </w:rPr>
              <w:t>" and concept of "</w:t>
            </w:r>
            <w:proofErr w:type="spellStart"/>
            <w:r w:rsidRPr="00057FC7">
              <w:rPr>
                <w:rFonts w:ascii="Arial" w:hAnsi="Arial" w:cs="Arial"/>
                <w:color w:val="6C6361"/>
                <w:sz w:val="19"/>
                <w:szCs w:val="19"/>
              </w:rPr>
              <w:t>Blockchain</w:t>
            </w:r>
            <w:proofErr w:type="spellEnd"/>
            <w:r w:rsidRPr="00057FC7">
              <w:rPr>
                <w:rFonts w:ascii="Arial" w:hAnsi="Arial" w:cs="Arial"/>
                <w:color w:val="6C6361"/>
                <w:sz w:val="19"/>
                <w:szCs w:val="19"/>
              </w:rPr>
              <w:t>"</w:t>
            </w:r>
          </w:p>
          <w:p w:rsidR="003B45D7" w:rsidRPr="00057FC7" w:rsidRDefault="003B45D7" w:rsidP="000E257D">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 xml:space="preserve">What is a </w:t>
            </w:r>
            <w:proofErr w:type="spellStart"/>
            <w:r w:rsidRPr="00057FC7">
              <w:rPr>
                <w:rFonts w:ascii="Arial" w:hAnsi="Arial" w:cs="Arial"/>
                <w:color w:val="6C6361"/>
                <w:sz w:val="19"/>
                <w:szCs w:val="19"/>
              </w:rPr>
              <w:t>cryptocurrency</w:t>
            </w:r>
            <w:proofErr w:type="spellEnd"/>
            <w:r w:rsidRPr="00057FC7">
              <w:rPr>
                <w:rFonts w:ascii="Arial" w:hAnsi="Arial" w:cs="Arial"/>
                <w:color w:val="6C6361"/>
                <w:sz w:val="19"/>
                <w:szCs w:val="19"/>
              </w:rPr>
              <w:t xml:space="preserve"> or a digital token?</w:t>
            </w:r>
          </w:p>
          <w:p w:rsidR="003B45D7" w:rsidRPr="00057FC7" w:rsidRDefault="003B45D7" w:rsidP="000E257D">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Legal Risks and Analysis of Digital Coins:</w:t>
            </w:r>
          </w:p>
          <w:p w:rsidR="003B45D7" w:rsidRPr="00057FC7" w:rsidRDefault="003B45D7" w:rsidP="000E257D">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Possible scams</w:t>
            </w:r>
          </w:p>
          <w:p w:rsidR="003B45D7" w:rsidRPr="00057FC7" w:rsidRDefault="003B45D7" w:rsidP="000E257D">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Risks associated with money laundering, terrorist financing or misuse for criminal activities</w:t>
            </w:r>
          </w:p>
          <w:p w:rsidR="003B45D7" w:rsidRPr="00057FC7" w:rsidRDefault="003B45D7" w:rsidP="000E257D">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Platform risk</w:t>
            </w:r>
          </w:p>
        </w:tc>
        <w:tc>
          <w:tcPr>
            <w:tcW w:w="3544" w:type="dxa"/>
            <w:tcBorders>
              <w:top w:val="nil"/>
              <w:left w:val="nil"/>
              <w:bottom w:val="nil"/>
              <w:right w:val="nil"/>
            </w:tcBorders>
            <w:shd w:val="clear" w:color="auto" w:fill="FFFFFF" w:themeFill="background1"/>
            <w:vAlign w:val="center"/>
          </w:tcPr>
          <w:p w:rsidR="003B45D7" w:rsidRPr="00057FC7" w:rsidRDefault="003B45D7" w:rsidP="000E257D">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Wallet security</w:t>
            </w:r>
          </w:p>
          <w:p w:rsidR="003B45D7" w:rsidRPr="00057FC7" w:rsidRDefault="003B45D7" w:rsidP="000E257D">
            <w:pPr>
              <w:pStyle w:val="ListParagraph"/>
              <w:numPr>
                <w:ilvl w:val="1"/>
                <w:numId w:val="2"/>
              </w:numPr>
              <w:spacing w:line="276" w:lineRule="auto"/>
              <w:jc w:val="left"/>
              <w:rPr>
                <w:rFonts w:ascii="Arial" w:hAnsi="Arial" w:cs="Arial"/>
                <w:color w:val="6C6361"/>
                <w:sz w:val="19"/>
                <w:szCs w:val="19"/>
              </w:rPr>
            </w:pPr>
            <w:r w:rsidRPr="00057FC7">
              <w:rPr>
                <w:rFonts w:ascii="Arial" w:hAnsi="Arial" w:cs="Arial"/>
                <w:color w:val="6C6361"/>
                <w:sz w:val="19"/>
                <w:szCs w:val="19"/>
              </w:rPr>
              <w:t>Highly volatile and speculative</w:t>
            </w:r>
          </w:p>
          <w:p w:rsidR="003B45D7" w:rsidRPr="00057FC7" w:rsidRDefault="003B45D7" w:rsidP="000E257D">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Liquidity risk</w:t>
            </w:r>
          </w:p>
          <w:p w:rsidR="003B45D7" w:rsidRPr="00057FC7" w:rsidRDefault="003B45D7" w:rsidP="000E257D">
            <w:pPr>
              <w:pStyle w:val="ListParagraph"/>
              <w:numPr>
                <w:ilvl w:val="1"/>
                <w:numId w:val="2"/>
              </w:numPr>
              <w:spacing w:line="276" w:lineRule="auto"/>
              <w:rPr>
                <w:rFonts w:ascii="Arial" w:hAnsi="Arial" w:cs="Arial"/>
                <w:color w:val="6C6361"/>
                <w:sz w:val="19"/>
                <w:szCs w:val="19"/>
              </w:rPr>
            </w:pPr>
            <w:r w:rsidRPr="00057FC7">
              <w:rPr>
                <w:rFonts w:ascii="Arial" w:hAnsi="Arial" w:cs="Arial"/>
                <w:color w:val="6C6361"/>
                <w:sz w:val="19"/>
                <w:szCs w:val="19"/>
              </w:rPr>
              <w:t>Cross-border risk</w:t>
            </w:r>
          </w:p>
          <w:p w:rsidR="003B45D7" w:rsidRPr="00057FC7" w:rsidRDefault="003B45D7" w:rsidP="000E257D">
            <w:pPr>
              <w:pStyle w:val="ListParagraph"/>
              <w:numPr>
                <w:ilvl w:val="0"/>
                <w:numId w:val="2"/>
              </w:numPr>
              <w:spacing w:line="276" w:lineRule="auto"/>
              <w:rPr>
                <w:rFonts w:ascii="Arial" w:hAnsi="Arial" w:cs="Arial"/>
                <w:color w:val="6C6361"/>
                <w:sz w:val="19"/>
                <w:szCs w:val="19"/>
              </w:rPr>
            </w:pPr>
            <w:r w:rsidRPr="00057FC7">
              <w:rPr>
                <w:rFonts w:ascii="Arial" w:hAnsi="Arial" w:cs="Arial"/>
                <w:color w:val="6C6361"/>
                <w:sz w:val="19"/>
                <w:szCs w:val="19"/>
              </w:rPr>
              <w:t>Are digital tokens/</w:t>
            </w:r>
            <w:proofErr w:type="spellStart"/>
            <w:r w:rsidRPr="00057FC7">
              <w:rPr>
                <w:rFonts w:ascii="Arial" w:hAnsi="Arial" w:cs="Arial"/>
                <w:color w:val="6C6361"/>
                <w:sz w:val="19"/>
                <w:szCs w:val="19"/>
              </w:rPr>
              <w:t>cryptocurrencies</w:t>
            </w:r>
            <w:proofErr w:type="spellEnd"/>
            <w:r w:rsidRPr="00057FC7">
              <w:rPr>
                <w:rFonts w:ascii="Arial" w:hAnsi="Arial" w:cs="Arial"/>
                <w:color w:val="6C6361"/>
                <w:sz w:val="19"/>
                <w:szCs w:val="19"/>
              </w:rPr>
              <w:t xml:space="preserve"> and ICOs regulated in Hong Kong and other jurisdictions?</w:t>
            </w:r>
          </w:p>
        </w:tc>
        <w:tc>
          <w:tcPr>
            <w:tcW w:w="1842" w:type="dxa"/>
            <w:vMerge/>
            <w:tcBorders>
              <w:left w:val="nil"/>
              <w:bottom w:val="nil"/>
            </w:tcBorders>
            <w:shd w:val="clear" w:color="auto" w:fill="FFFFFF" w:themeFill="background1"/>
            <w:vAlign w:val="center"/>
          </w:tcPr>
          <w:p w:rsidR="003B45D7" w:rsidRPr="00057FC7" w:rsidRDefault="003B45D7" w:rsidP="000E257D">
            <w:pPr>
              <w:spacing w:line="276" w:lineRule="auto"/>
              <w:rPr>
                <w:rFonts w:ascii="Arial" w:hAnsi="Arial" w:cs="Arial"/>
                <w:color w:val="6C6361"/>
                <w:sz w:val="19"/>
                <w:szCs w:val="19"/>
              </w:rPr>
            </w:pPr>
          </w:p>
        </w:tc>
      </w:tr>
    </w:tbl>
    <w:p w:rsidR="00423572" w:rsidRPr="003B45D7" w:rsidRDefault="00423572" w:rsidP="00CE6816">
      <w:pPr>
        <w:spacing w:line="276" w:lineRule="auto"/>
        <w:jc w:val="left"/>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95"/>
        <w:gridCol w:w="2880"/>
        <w:gridCol w:w="794"/>
        <w:gridCol w:w="1700"/>
        <w:gridCol w:w="2464"/>
        <w:gridCol w:w="1239"/>
      </w:tblGrid>
      <w:tr w:rsidR="003B45D7" w:rsidRPr="00320F79" w:rsidTr="003B45D7">
        <w:trPr>
          <w:trHeight w:val="312"/>
          <w:jc w:val="center"/>
        </w:trPr>
        <w:tc>
          <w:tcPr>
            <w:tcW w:w="1695" w:type="dxa"/>
            <w:tcBorders>
              <w:top w:val="nil"/>
              <w:left w:val="nil"/>
              <w:bottom w:val="single" w:sz="12" w:space="0" w:color="FFFFFF"/>
            </w:tcBorders>
            <w:shd w:val="clear" w:color="auto" w:fill="F0EBE1"/>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Code:</w:t>
            </w:r>
          </w:p>
        </w:tc>
        <w:tc>
          <w:tcPr>
            <w:tcW w:w="3674" w:type="dxa"/>
            <w:gridSpan w:val="2"/>
            <w:tcBorders>
              <w:top w:val="nil"/>
              <w:bottom w:val="single" w:sz="12" w:space="0" w:color="F0EBE1"/>
            </w:tcBorders>
            <w:shd w:val="clear" w:color="auto" w:fill="FFFFFF"/>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EVT000000260</w:t>
            </w:r>
          </w:p>
        </w:tc>
        <w:tc>
          <w:tcPr>
            <w:tcW w:w="1700" w:type="dxa"/>
            <w:tcBorders>
              <w:top w:val="nil"/>
              <w:bottom w:val="single" w:sz="12" w:space="0" w:color="FFFFFF"/>
            </w:tcBorders>
            <w:shd w:val="clear" w:color="auto" w:fill="F0EBE1"/>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Level:</w:t>
            </w:r>
          </w:p>
        </w:tc>
        <w:tc>
          <w:tcPr>
            <w:tcW w:w="3703" w:type="dxa"/>
            <w:gridSpan w:val="2"/>
            <w:tcBorders>
              <w:top w:val="nil"/>
              <w:bottom w:val="single" w:sz="12" w:space="0" w:color="F0EBE1"/>
              <w:right w:val="nil"/>
            </w:tcBorders>
            <w:shd w:val="clear" w:color="auto" w:fill="FFFFFF"/>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B45D7" w:rsidRPr="00320F79" w:rsidTr="003B45D7">
        <w:trPr>
          <w:trHeight w:val="312"/>
          <w:jc w:val="center"/>
        </w:trPr>
        <w:tc>
          <w:tcPr>
            <w:tcW w:w="1695" w:type="dxa"/>
            <w:tcBorders>
              <w:top w:val="single" w:sz="12" w:space="0" w:color="FFFFFF"/>
              <w:left w:val="nil"/>
              <w:bottom w:val="single" w:sz="12" w:space="0" w:color="FFFFFF"/>
            </w:tcBorders>
            <w:shd w:val="clear" w:color="auto" w:fill="F0EBE1"/>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Date:</w:t>
            </w:r>
          </w:p>
        </w:tc>
        <w:tc>
          <w:tcPr>
            <w:tcW w:w="3674" w:type="dxa"/>
            <w:gridSpan w:val="2"/>
            <w:tcBorders>
              <w:top w:val="single" w:sz="12" w:space="0" w:color="F0EBE1"/>
              <w:bottom w:val="single" w:sz="12" w:space="0" w:color="F0EBE1"/>
            </w:tcBorders>
            <w:shd w:val="clear" w:color="auto" w:fill="FFFFFF"/>
            <w:vAlign w:val="center"/>
          </w:tcPr>
          <w:p w:rsidR="003B45D7" w:rsidRPr="001D532F"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 October 2018 (Monday)</w:t>
            </w:r>
          </w:p>
        </w:tc>
        <w:tc>
          <w:tcPr>
            <w:tcW w:w="1700" w:type="dxa"/>
            <w:tcBorders>
              <w:top w:val="single" w:sz="12" w:space="0" w:color="FFFFFF"/>
              <w:bottom w:val="single" w:sz="12" w:space="0" w:color="FFFFFF"/>
            </w:tcBorders>
            <w:shd w:val="clear" w:color="auto" w:fill="F0EBE1"/>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Language:</w:t>
            </w:r>
          </w:p>
        </w:tc>
        <w:tc>
          <w:tcPr>
            <w:tcW w:w="3703" w:type="dxa"/>
            <w:gridSpan w:val="2"/>
            <w:tcBorders>
              <w:top w:val="single" w:sz="12" w:space="0" w:color="F0EBE1"/>
              <w:bottom w:val="single" w:sz="12" w:space="0" w:color="F0EBE1"/>
              <w:right w:val="nil"/>
            </w:tcBorders>
            <w:shd w:val="clear" w:color="auto" w:fill="FFFFFF"/>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3B45D7" w:rsidRPr="00320F79" w:rsidTr="003B45D7">
        <w:trPr>
          <w:trHeight w:val="312"/>
          <w:jc w:val="center"/>
        </w:trPr>
        <w:tc>
          <w:tcPr>
            <w:tcW w:w="1695" w:type="dxa"/>
            <w:tcBorders>
              <w:top w:val="single" w:sz="12" w:space="0" w:color="FFFFFF"/>
              <w:left w:val="nil"/>
              <w:bottom w:val="single" w:sz="12" w:space="0" w:color="FFFFFF"/>
            </w:tcBorders>
            <w:shd w:val="clear" w:color="auto" w:fill="F0EBE1"/>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Time:</w:t>
            </w:r>
          </w:p>
        </w:tc>
        <w:tc>
          <w:tcPr>
            <w:tcW w:w="3674" w:type="dxa"/>
            <w:gridSpan w:val="2"/>
            <w:tcBorders>
              <w:top w:val="single" w:sz="12" w:space="0" w:color="F0EBE1"/>
              <w:bottom w:val="single" w:sz="12" w:space="0" w:color="F0EBE1"/>
            </w:tcBorders>
            <w:shd w:val="clear" w:color="auto" w:fill="FFFFFF"/>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09:30 - 12</w:t>
            </w:r>
            <w:r w:rsidRPr="00D159B2">
              <w:rPr>
                <w:rFonts w:ascii="Arial" w:hAnsi="Arial" w:cs="Arial"/>
                <w:b/>
                <w:color w:val="6C6361"/>
                <w:sz w:val="20"/>
                <w:szCs w:val="20"/>
              </w:rPr>
              <w:t>:45</w:t>
            </w:r>
          </w:p>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09</w:t>
            </w:r>
            <w:r w:rsidRPr="00D159B2">
              <w:rPr>
                <w:rFonts w:ascii="Arial" w:hAnsi="Arial" w:cs="Arial"/>
                <w:color w:val="6C6361"/>
                <w:sz w:val="20"/>
                <w:szCs w:val="20"/>
              </w:rPr>
              <w:t>:00)</w:t>
            </w:r>
          </w:p>
        </w:tc>
        <w:tc>
          <w:tcPr>
            <w:tcW w:w="1700" w:type="dxa"/>
            <w:tcBorders>
              <w:top w:val="single" w:sz="12" w:space="0" w:color="FFFFFF"/>
              <w:bottom w:val="single" w:sz="12" w:space="0" w:color="FFFFFF"/>
            </w:tcBorders>
            <w:shd w:val="clear" w:color="auto" w:fill="F0EBE1"/>
            <w:vAlign w:val="center"/>
          </w:tcPr>
          <w:p w:rsidR="003B45D7" w:rsidRPr="00D159B2"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D159B2">
              <w:rPr>
                <w:rFonts w:ascii="Arial" w:eastAsia="Times New Roman" w:hAnsi="Arial" w:cs="Arial"/>
                <w:noProof/>
                <w:color w:val="524B48"/>
                <w:sz w:val="20"/>
                <w:szCs w:val="20"/>
              </w:rPr>
              <w:t>Accreditation(s):</w:t>
            </w:r>
          </w:p>
        </w:tc>
        <w:tc>
          <w:tcPr>
            <w:tcW w:w="3703" w:type="dxa"/>
            <w:gridSpan w:val="2"/>
            <w:tcBorders>
              <w:top w:val="single" w:sz="12" w:space="0" w:color="F0EBE1"/>
              <w:bottom w:val="single" w:sz="12" w:space="0" w:color="F0EBE1"/>
              <w:right w:val="nil"/>
            </w:tcBorders>
            <w:shd w:val="clear" w:color="auto" w:fill="FFFFFF"/>
            <w:vAlign w:val="center"/>
          </w:tcPr>
          <w:p w:rsidR="003B45D7"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D159B2">
              <w:rPr>
                <w:rFonts w:ascii="Arial" w:hAnsi="Arial" w:cs="Arial"/>
                <w:b/>
                <w:color w:val="6C6361"/>
                <w:sz w:val="20"/>
                <w:szCs w:val="20"/>
              </w:rPr>
              <w:t>LSHK</w:t>
            </w:r>
            <w:r>
              <w:rPr>
                <w:rFonts w:ascii="Arial" w:hAnsi="Arial" w:cs="Arial"/>
                <w:b/>
                <w:color w:val="6C6361"/>
                <w:sz w:val="20"/>
                <w:szCs w:val="20"/>
              </w:rPr>
              <w:t xml:space="preserve"> 3.0 </w:t>
            </w:r>
            <w:r w:rsidRPr="00D159B2">
              <w:rPr>
                <w:rFonts w:ascii="Arial" w:hAnsi="Arial" w:cs="Arial"/>
                <w:b/>
                <w:color w:val="6C6361"/>
                <w:sz w:val="20"/>
                <w:szCs w:val="20"/>
              </w:rPr>
              <w:t>CPD Points</w:t>
            </w:r>
          </w:p>
          <w:p w:rsidR="003B45D7" w:rsidRPr="007E00C3" w:rsidRDefault="003B45D7" w:rsidP="003B4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E92D28">
              <w:rPr>
                <w:rFonts w:ascii="Arial" w:hAnsi="Arial" w:cs="Arial"/>
                <w:b/>
                <w:color w:val="6C6361"/>
                <w:sz w:val="20"/>
                <w:szCs w:val="20"/>
              </w:rPr>
              <w:t>SFC 3.0 CPT Hours</w:t>
            </w:r>
          </w:p>
        </w:tc>
      </w:tr>
      <w:tr w:rsidR="008D70FE" w:rsidRPr="00320F79" w:rsidTr="006D4D31">
        <w:trPr>
          <w:trHeight w:val="1247"/>
          <w:jc w:val="center"/>
        </w:trPr>
        <w:tc>
          <w:tcPr>
            <w:tcW w:w="1695" w:type="dxa"/>
            <w:tcBorders>
              <w:top w:val="single" w:sz="12" w:space="0" w:color="FFFFFF"/>
              <w:left w:val="nil"/>
              <w:bottom w:val="nil"/>
            </w:tcBorders>
            <w:shd w:val="clear" w:color="auto" w:fill="F0EBE1"/>
            <w:vAlign w:val="center"/>
          </w:tcPr>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80" w:type="dxa"/>
            <w:tcBorders>
              <w:top w:val="single" w:sz="12" w:space="0" w:color="F0EBE1"/>
              <w:bottom w:val="nil"/>
              <w:right w:val="nil"/>
            </w:tcBorders>
            <w:shd w:val="clear" w:color="auto" w:fill="FFFFFF"/>
            <w:vAlign w:val="center"/>
          </w:tcPr>
          <w:p w:rsidR="008D70FE" w:rsidRPr="00320F79" w:rsidRDefault="008D70FE" w:rsidP="008D70FE">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8D70FE" w:rsidRPr="00320F79"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8D70FE" w:rsidRDefault="008D70FE" w:rsidP="008D70FE">
            <w:pPr>
              <w:jc w:val="right"/>
              <w:rPr>
                <w:rFonts w:ascii="Arial" w:hAnsi="Arial" w:cs="Arial"/>
                <w:b/>
                <w:color w:val="6C6361"/>
                <w:sz w:val="20"/>
                <w:szCs w:val="20"/>
              </w:rPr>
            </w:pPr>
          </w:p>
          <w:p w:rsidR="008D70FE" w:rsidRDefault="008D70FE" w:rsidP="008D70FE">
            <w:pPr>
              <w:jc w:val="right"/>
              <w:rPr>
                <w:rFonts w:ascii="Arial" w:hAnsi="Arial" w:cs="Arial"/>
                <w:b/>
                <w:color w:val="6C6361"/>
                <w:sz w:val="20"/>
                <w:szCs w:val="20"/>
              </w:rPr>
            </w:pPr>
          </w:p>
          <w:p w:rsidR="008D70FE" w:rsidRPr="00320F79" w:rsidRDefault="008D70FE" w:rsidP="008D70FE">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69137CC1" wp14:editId="2BA5E7AF">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8D70FE" w:rsidRPr="00E2201B" w:rsidRDefault="008D70FE" w:rsidP="008D70FE">
            <w:pPr>
              <w:jc w:val="right"/>
              <w:rPr>
                <w:rFonts w:ascii="Arial" w:hAnsi="Arial" w:cs="Arial"/>
                <w:b/>
                <w:color w:val="6C6361"/>
                <w:sz w:val="12"/>
                <w:szCs w:val="12"/>
              </w:rPr>
            </w:pPr>
          </w:p>
        </w:tc>
        <w:tc>
          <w:tcPr>
            <w:tcW w:w="1700" w:type="dxa"/>
            <w:tcBorders>
              <w:top w:val="single" w:sz="12" w:space="0" w:color="FFFFFF"/>
              <w:bottom w:val="nil"/>
            </w:tcBorders>
            <w:shd w:val="clear" w:color="auto" w:fill="F0EBE1"/>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64" w:type="dxa"/>
            <w:tcBorders>
              <w:top w:val="single" w:sz="12" w:space="0" w:color="F0EBE1"/>
              <w:bottom w:val="nil"/>
              <w:right w:val="nil"/>
            </w:tcBorders>
            <w:shd w:val="clear" w:color="auto" w:fill="FFFFFF"/>
            <w:vAlign w:val="center"/>
          </w:tcPr>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8D70FE" w:rsidRPr="003A2A41"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rsidR="008D70FE" w:rsidRPr="00156567" w:rsidRDefault="008D70FE" w:rsidP="008D70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6B5E9D0" wp14:editId="5BD77DBE">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CE6816" w:rsidRDefault="00CE6816" w:rsidP="00CE6816">
      <w:pPr>
        <w:rPr>
          <w:rFonts w:ascii="Arial" w:hAnsi="Arial" w:cs="Arial"/>
          <w:color w:val="524B48"/>
          <w:sz w:val="2"/>
          <w:szCs w:val="2"/>
        </w:rPr>
      </w:pPr>
    </w:p>
    <w:p w:rsidR="00CE6816" w:rsidRDefault="00CE6816" w:rsidP="00CE6816">
      <w:pPr>
        <w:rPr>
          <w:rFonts w:ascii="Arial" w:hAnsi="Arial" w:cs="Arial"/>
          <w:color w:val="524B48"/>
          <w:sz w:val="2"/>
          <w:szCs w:val="2"/>
        </w:rPr>
      </w:pPr>
    </w:p>
    <w:p w:rsidR="00CE6816" w:rsidRPr="003B45D7" w:rsidRDefault="00CE6816" w:rsidP="00CE6816">
      <w:pPr>
        <w:rPr>
          <w:rFonts w:ascii="Arial" w:hAnsi="Arial" w:cs="Arial"/>
          <w:color w:val="524B48"/>
          <w:sz w:val="2"/>
          <w:szCs w:val="2"/>
        </w:rPr>
      </w:pPr>
    </w:p>
    <w:sectPr w:rsidR="00CE6816" w:rsidRPr="003B45D7"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6CB" w:rsidRDefault="008006CB" w:rsidP="00546556">
      <w:r>
        <w:separator/>
      </w:r>
    </w:p>
  </w:endnote>
  <w:endnote w:type="continuationSeparator" w:id="0">
    <w:p w:rsidR="008006CB" w:rsidRDefault="008006CB"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6CB" w:rsidRDefault="008006CB" w:rsidP="00546556">
      <w:r>
        <w:separator/>
      </w:r>
    </w:p>
  </w:footnote>
  <w:footnote w:type="continuationSeparator" w:id="0">
    <w:p w:rsidR="008006CB" w:rsidRDefault="008006CB"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62432FA"/>
    <w:multiLevelType w:val="multilevel"/>
    <w:tmpl w:val="C5DAD3C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7F45157"/>
    <w:multiLevelType w:val="multilevel"/>
    <w:tmpl w:val="9BFED17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1EC2C19"/>
    <w:multiLevelType w:val="hybridMultilevel"/>
    <w:tmpl w:val="F676C81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87D17E2"/>
    <w:multiLevelType w:val="multilevel"/>
    <w:tmpl w:val="A79A28FC"/>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B6B0816"/>
    <w:multiLevelType w:val="multilevel"/>
    <w:tmpl w:val="D20A72EA"/>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BA259B7"/>
    <w:multiLevelType w:val="multilevel"/>
    <w:tmpl w:val="10C805C8"/>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520FB4"/>
    <w:multiLevelType w:val="multilevel"/>
    <w:tmpl w:val="365A74E0"/>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20">
    <w:nsid w:val="58946673"/>
    <w:multiLevelType w:val="multilevel"/>
    <w:tmpl w:val="3738B4D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5D013CD2"/>
    <w:multiLevelType w:val="multilevel"/>
    <w:tmpl w:val="E550CDA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77E138D5"/>
    <w:multiLevelType w:val="multilevel"/>
    <w:tmpl w:val="DF6CBC32"/>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5"/>
  </w:num>
  <w:num w:numId="2">
    <w:abstractNumId w:val="11"/>
  </w:num>
  <w:num w:numId="3">
    <w:abstractNumId w:val="23"/>
  </w:num>
  <w:num w:numId="4">
    <w:abstractNumId w:val="4"/>
  </w:num>
  <w:num w:numId="5">
    <w:abstractNumId w:val="8"/>
  </w:num>
  <w:num w:numId="6">
    <w:abstractNumId w:val="24"/>
  </w:num>
  <w:num w:numId="7">
    <w:abstractNumId w:val="6"/>
  </w:num>
  <w:num w:numId="8">
    <w:abstractNumId w:val="25"/>
  </w:num>
  <w:num w:numId="9">
    <w:abstractNumId w:val="26"/>
  </w:num>
  <w:num w:numId="10">
    <w:abstractNumId w:val="18"/>
  </w:num>
  <w:num w:numId="11">
    <w:abstractNumId w:val="0"/>
  </w:num>
  <w:num w:numId="12">
    <w:abstractNumId w:val="14"/>
  </w:num>
  <w:num w:numId="13">
    <w:abstractNumId w:val="21"/>
  </w:num>
  <w:num w:numId="14">
    <w:abstractNumId w:val="13"/>
  </w:num>
  <w:num w:numId="15">
    <w:abstractNumId w:val="17"/>
  </w:num>
  <w:num w:numId="16">
    <w:abstractNumId w:val="2"/>
  </w:num>
  <w:num w:numId="17">
    <w:abstractNumId w:val="12"/>
  </w:num>
  <w:num w:numId="18">
    <w:abstractNumId w:val="19"/>
  </w:num>
  <w:num w:numId="19">
    <w:abstractNumId w:val="16"/>
  </w:num>
  <w:num w:numId="20">
    <w:abstractNumId w:val="27"/>
  </w:num>
  <w:num w:numId="21">
    <w:abstractNumId w:val="5"/>
  </w:num>
  <w:num w:numId="22">
    <w:abstractNumId w:val="10"/>
  </w:num>
  <w:num w:numId="23">
    <w:abstractNumId w:val="20"/>
  </w:num>
  <w:num w:numId="24">
    <w:abstractNumId w:val="1"/>
  </w:num>
  <w:num w:numId="25">
    <w:abstractNumId w:val="9"/>
  </w:num>
  <w:num w:numId="26">
    <w:abstractNumId w:val="7"/>
  </w:num>
  <w:num w:numId="27">
    <w:abstractNumId w:val="2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1"/>
  <w:displayBackgroundShape/>
  <w:gutterAtTop/>
  <w:proofState w:spelling="clean" w:grammar="clean"/>
  <w:documentProtection w:edit="forms" w:enforcement="1" w:cryptProviderType="rsaAES" w:cryptAlgorithmClass="hash" w:cryptAlgorithmType="typeAny" w:cryptAlgorithmSid="14" w:cryptSpinCount="100000" w:hash="BcM0xkqueq8U84m/Zwbjcs/Q6O0h0ekhWHn2dkgwhQ7nn9KnMT4JxbO4Ya7EKXnZGkzQ9p6EUCYE6CrjZb1RoA==" w:salt="2cY4qwdKSo2NNrj5I5X/k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CCA"/>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37B"/>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2AD"/>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A6D04"/>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19B9"/>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35B2"/>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45D7"/>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572"/>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2AE2"/>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451D"/>
    <w:rsid w:val="006C514B"/>
    <w:rsid w:val="006C546D"/>
    <w:rsid w:val="006C5492"/>
    <w:rsid w:val="006C7634"/>
    <w:rsid w:val="006C7934"/>
    <w:rsid w:val="006D1051"/>
    <w:rsid w:val="006D24DB"/>
    <w:rsid w:val="006D4D31"/>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06CB"/>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0FE"/>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9E2"/>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911"/>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816"/>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3F9"/>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3975"/>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AE"/>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89/"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260/"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554D0-CC3A-4177-B0A3-8D6922228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427</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Legal Issues of Bitcoin, Initial Coin Offerings (ICO) and Other "Cryptocurrencies"</vt:lpstr>
    </vt:vector>
  </TitlesOfParts>
  <Manager>Tyrone Tsang</Manager>
  <Company>The Profectional Company Limited</Company>
  <LinksUpToDate>false</LinksUpToDate>
  <CharactersWithSpaces>2862</CharactersWithSpaces>
  <SharedDoc>false</SharedDoc>
  <HyperlinkBase>http://download.profectional.com/events/EVT000000260.docx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Legal Issues of Bitcoin, Initial Coin Offerings (ICO) and Other "Cryptocurrencies"</dc:title>
  <dc:subject>CPD Course, CPT Course: Legal Issues of Bitcoin, Initial Coin Offerings (ICO) and Other "Cryptocurrencies"</dc:subject>
  <dc:creator>The Profectional Company Limited</dc:creator>
  <cp:keywords>Profectional; Kornerstone; CPD; CPT; CLE; CE; RME; Albert So; Practising Solicitor; Certified Anti-Money Laundering Specialist; Certified Financial Crimes Specialist; Accredited General Mediator; Accredited Family Mediator; Arbitrator; University Lecturer; Fellow of International Bar Association</cp:keywords>
  <cp:lastModifiedBy>Tyrone Tsang</cp:lastModifiedBy>
  <cp:revision>45</cp:revision>
  <cp:lastPrinted>2018-03-17T14:32:00Z</cp:lastPrinted>
  <dcterms:created xsi:type="dcterms:W3CDTF">2015-08-21T08:33:00Z</dcterms:created>
  <dcterms:modified xsi:type="dcterms:W3CDTF">2018-10-14T15:37:00Z</dcterms:modified>
</cp:coreProperties>
</file>