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76B" w:rsidRPr="0060276B" w:rsidRDefault="0060276B" w:rsidP="0060276B">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60276B" w:rsidRPr="00523A64" w:rsidTr="00AA6E58">
        <w:trPr>
          <w:trHeight w:val="3119"/>
          <w:jc w:val="center"/>
        </w:trPr>
        <w:tc>
          <w:tcPr>
            <w:tcW w:w="4820" w:type="dxa"/>
            <w:shd w:val="clear" w:color="auto" w:fill="FFFFFF"/>
            <w:vAlign w:val="center"/>
          </w:tcPr>
          <w:p w:rsidR="0060276B" w:rsidRPr="008259A9" w:rsidRDefault="0060276B" w:rsidP="00AA6E58">
            <w:pPr>
              <w:jc w:val="center"/>
              <w:rPr>
                <w:rFonts w:ascii="Arial" w:hAnsi="Arial" w:cs="Arial"/>
                <w:b/>
                <w:bCs/>
                <w:color w:val="524B48"/>
                <w:sz w:val="4"/>
                <w:szCs w:val="4"/>
              </w:rPr>
            </w:pPr>
          </w:p>
          <w:p w:rsidR="0060276B" w:rsidRDefault="0060276B" w:rsidP="00AA6E58">
            <w:pPr>
              <w:jc w:val="center"/>
              <w:rPr>
                <w:rStyle w:val="Hyperlink"/>
                <w:rFonts w:ascii="Arial" w:hAnsi="Arial" w:cs="Arial"/>
                <w:b/>
                <w:bCs/>
                <w:color w:val="524B48"/>
                <w:sz w:val="32"/>
                <w:szCs w:val="32"/>
                <w:u w:val="none"/>
              </w:rPr>
            </w:pPr>
            <w:r>
              <w:fldChar w:fldCharType="begin"/>
            </w:r>
            <w:r>
              <w:instrText>HYPERLINK "http://cpd.hk/evt000000266/"</w:instrText>
            </w:r>
            <w:r>
              <w:fldChar w:fldCharType="separate"/>
            </w:r>
            <w:r>
              <w:rPr>
                <w:rStyle w:val="Hyperlink"/>
                <w:rFonts w:ascii="Arial" w:hAnsi="Arial" w:cs="Arial"/>
                <w:b/>
                <w:bCs/>
                <w:color w:val="524B48"/>
                <w:sz w:val="32"/>
                <w:szCs w:val="32"/>
                <w:u w:val="none"/>
              </w:rPr>
              <w:t>Decision-Making</w:t>
            </w:r>
          </w:p>
          <w:p w:rsidR="0060276B" w:rsidRDefault="0060276B" w:rsidP="00AA6E5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Procedures:</w:t>
            </w:r>
          </w:p>
          <w:p w:rsidR="0060276B" w:rsidRDefault="0060276B" w:rsidP="00AA6E5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Getting Them Right</w:t>
            </w:r>
          </w:p>
          <w:p w:rsidR="0060276B" w:rsidRDefault="0060276B" w:rsidP="00AA6E5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What to Do</w:t>
            </w:r>
          </w:p>
          <w:p w:rsidR="0060276B" w:rsidRPr="00032DE4" w:rsidRDefault="0060276B" w:rsidP="00AA6E58">
            <w:pPr>
              <w:jc w:val="center"/>
              <w:rPr>
                <w:rFonts w:ascii="Arial" w:hAnsi="Arial" w:cs="Arial"/>
                <w:b/>
                <w:bCs/>
                <w:color w:val="524B48"/>
                <w:sz w:val="32"/>
                <w:szCs w:val="32"/>
              </w:rPr>
            </w:pPr>
            <w:r w:rsidRPr="00257860">
              <w:rPr>
                <w:rStyle w:val="Hyperlink"/>
                <w:rFonts w:ascii="Arial" w:hAnsi="Arial" w:cs="Arial"/>
                <w:b/>
                <w:bCs/>
                <w:color w:val="524B48"/>
                <w:sz w:val="32"/>
                <w:szCs w:val="32"/>
                <w:u w:val="none"/>
              </w:rPr>
              <w:t>When They Go Wrong)</w:t>
            </w:r>
            <w:r>
              <w:rPr>
                <w:rStyle w:val="Hyperlink"/>
                <w:rFonts w:ascii="Arial" w:hAnsi="Arial" w:cs="Arial"/>
                <w:b/>
                <w:bCs/>
                <w:color w:val="524B48"/>
                <w:sz w:val="32"/>
                <w:szCs w:val="32"/>
                <w:u w:val="none"/>
              </w:rPr>
              <w:fldChar w:fldCharType="end"/>
            </w:r>
          </w:p>
          <w:p w:rsidR="0060276B" w:rsidRPr="00731F7F" w:rsidRDefault="0060276B" w:rsidP="00AA6E58">
            <w:pPr>
              <w:jc w:val="center"/>
              <w:rPr>
                <w:rFonts w:ascii="Arial" w:hAnsi="Arial" w:cs="Arial"/>
                <w:b/>
                <w:bCs/>
                <w:sz w:val="24"/>
                <w:szCs w:val="28"/>
              </w:rPr>
            </w:pPr>
          </w:p>
          <w:p w:rsidR="0060276B" w:rsidRPr="009D67FA" w:rsidRDefault="0060276B" w:rsidP="00AA6E58">
            <w:pPr>
              <w:jc w:val="center"/>
              <w:rPr>
                <w:rFonts w:ascii="Arial" w:hAnsi="Arial" w:cs="Arial"/>
                <w:i/>
                <w:color w:val="6C6361"/>
                <w:sz w:val="24"/>
                <w:szCs w:val="24"/>
              </w:rPr>
            </w:pPr>
            <w:r w:rsidRPr="009D67FA">
              <w:rPr>
                <w:rFonts w:ascii="Arial" w:hAnsi="Arial" w:cs="Arial"/>
                <w:i/>
                <w:color w:val="6C6361"/>
                <w:sz w:val="24"/>
                <w:szCs w:val="24"/>
              </w:rPr>
              <w:t>by</w:t>
            </w:r>
          </w:p>
          <w:p w:rsidR="0060276B" w:rsidRDefault="0060276B" w:rsidP="00AA6E58">
            <w:pPr>
              <w:spacing w:line="276" w:lineRule="auto"/>
              <w:jc w:val="center"/>
              <w:rPr>
                <w:rFonts w:ascii="Arial" w:hAnsi="Arial" w:cs="Arial"/>
                <w:color w:val="6C6361"/>
                <w:sz w:val="24"/>
                <w:szCs w:val="24"/>
              </w:rPr>
            </w:pPr>
            <w:hyperlink r:id="rId8" w:history="1">
              <w:r w:rsidRPr="00032DE4">
                <w:rPr>
                  <w:rStyle w:val="Hyperlink"/>
                  <w:rFonts w:ascii="Arial" w:hAnsi="Arial" w:cs="Arial"/>
                  <w:color w:val="6C6361"/>
                  <w:sz w:val="24"/>
                  <w:szCs w:val="24"/>
                  <w:u w:val="none"/>
                </w:rPr>
                <w:t xml:space="preserve">Dr. </w:t>
              </w:r>
              <w:r>
                <w:rPr>
                  <w:rStyle w:val="Hyperlink"/>
                  <w:rFonts w:ascii="Arial" w:hAnsi="Arial" w:cs="Arial"/>
                  <w:color w:val="6C6361"/>
                  <w:sz w:val="24"/>
                  <w:szCs w:val="24"/>
                  <w:u w:val="none"/>
                </w:rPr>
                <w:t>Stephen Thomson</w:t>
              </w:r>
            </w:hyperlink>
            <w:r>
              <w:rPr>
                <w:rFonts w:ascii="Arial" w:hAnsi="Arial" w:cs="Arial"/>
                <w:color w:val="6C6361"/>
                <w:sz w:val="24"/>
                <w:szCs w:val="24"/>
              </w:rPr>
              <w:t>,</w:t>
            </w:r>
          </w:p>
          <w:p w:rsidR="0060276B" w:rsidRDefault="0060276B" w:rsidP="00AA6E58">
            <w:pPr>
              <w:jc w:val="center"/>
              <w:rPr>
                <w:rFonts w:ascii="Arial" w:hAnsi="Arial" w:cs="Arial"/>
                <w:color w:val="6C6361"/>
                <w:sz w:val="24"/>
                <w:szCs w:val="24"/>
              </w:rPr>
            </w:pPr>
            <w:r>
              <w:rPr>
                <w:rFonts w:ascii="Arial" w:hAnsi="Arial" w:cs="Arial"/>
                <w:color w:val="6C6361"/>
                <w:sz w:val="24"/>
                <w:szCs w:val="24"/>
              </w:rPr>
              <w:t>Associate Professor,</w:t>
            </w:r>
          </w:p>
          <w:p w:rsidR="0060276B" w:rsidRDefault="0060276B" w:rsidP="00AA6E58">
            <w:pPr>
              <w:jc w:val="center"/>
              <w:rPr>
                <w:rFonts w:ascii="Arial" w:hAnsi="Arial" w:cs="Arial"/>
                <w:color w:val="6C6361"/>
                <w:sz w:val="24"/>
                <w:szCs w:val="24"/>
              </w:rPr>
            </w:pPr>
            <w:r>
              <w:rPr>
                <w:rFonts w:ascii="Arial" w:hAnsi="Arial" w:cs="Arial"/>
                <w:color w:val="6C6361"/>
                <w:sz w:val="24"/>
                <w:szCs w:val="24"/>
              </w:rPr>
              <w:t>School of Law,</w:t>
            </w:r>
          </w:p>
          <w:p w:rsidR="0060276B" w:rsidRDefault="0060276B" w:rsidP="00AA6E58">
            <w:pPr>
              <w:jc w:val="center"/>
              <w:rPr>
                <w:rFonts w:ascii="Arial" w:hAnsi="Arial" w:cs="Arial"/>
                <w:color w:val="6C6361"/>
                <w:sz w:val="24"/>
                <w:szCs w:val="24"/>
              </w:rPr>
            </w:pPr>
            <w:r w:rsidRPr="00F40C7D">
              <w:rPr>
                <w:rFonts w:ascii="Arial" w:hAnsi="Arial" w:cs="Arial"/>
                <w:color w:val="6C6361"/>
                <w:sz w:val="24"/>
                <w:szCs w:val="24"/>
              </w:rPr>
              <w:t>City University of Hong Kong</w:t>
            </w:r>
          </w:p>
          <w:p w:rsidR="0060276B" w:rsidRPr="008259A9" w:rsidRDefault="0060276B" w:rsidP="00AA6E58">
            <w:pPr>
              <w:jc w:val="center"/>
              <w:rPr>
                <w:rFonts w:ascii="Arial" w:hAnsi="Arial" w:cs="Arial"/>
                <w:color w:val="6C6361"/>
                <w:sz w:val="4"/>
                <w:szCs w:val="4"/>
              </w:rPr>
            </w:pPr>
          </w:p>
        </w:tc>
        <w:tc>
          <w:tcPr>
            <w:tcW w:w="5954" w:type="dxa"/>
            <w:shd w:val="clear" w:color="auto" w:fill="FFFFFF"/>
            <w:vAlign w:val="center"/>
          </w:tcPr>
          <w:p w:rsidR="0060276B" w:rsidRPr="00D50772" w:rsidRDefault="0060276B" w:rsidP="00AA6E58">
            <w:pPr>
              <w:spacing w:line="276" w:lineRule="auto"/>
              <w:rPr>
                <w:rFonts w:ascii="Arial" w:eastAsia="Times New Roman" w:hAnsi="Arial" w:cs="Arial"/>
                <w:noProof/>
                <w:sz w:val="20"/>
                <w:szCs w:val="20"/>
              </w:rPr>
            </w:pPr>
            <w:r w:rsidRPr="001169F0">
              <w:rPr>
                <w:rFonts w:ascii="Arial" w:eastAsia="Times New Roman" w:hAnsi="Arial" w:cs="Arial"/>
                <w:noProof/>
                <w:sz w:val="20"/>
                <w:szCs w:val="20"/>
              </w:rPr>
              <w:drawing>
                <wp:anchor distT="0" distB="0" distL="114300" distR="114300" simplePos="0" relativeHeight="251659264" behindDoc="0" locked="0" layoutInCell="1" allowOverlap="1" wp14:anchorId="36F773FC" wp14:editId="4E294CDC">
                  <wp:simplePos x="0" y="0"/>
                  <wp:positionH relativeFrom="column">
                    <wp:posOffset>3178810</wp:posOffset>
                  </wp:positionH>
                  <wp:positionV relativeFrom="paragraph">
                    <wp:posOffset>-215265</wp:posOffset>
                  </wp:positionV>
                  <wp:extent cx="539750" cy="550545"/>
                  <wp:effectExtent l="0" t="0" r="0" b="1905"/>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176643F" wp14:editId="55F093EF">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60276B" w:rsidRPr="008E3613" w:rsidRDefault="0060276B" w:rsidP="0060276B">
      <w:pPr>
        <w:spacing w:line="276" w:lineRule="auto"/>
        <w:jc w:val="left"/>
        <w:rPr>
          <w:rFonts w:ascii="Arial" w:hAnsi="Arial" w:cs="Arial"/>
          <w:sz w:val="14"/>
          <w:szCs w:val="20"/>
        </w:rPr>
      </w:pPr>
    </w:p>
    <w:tbl>
      <w:tblPr>
        <w:tblW w:w="10773" w:type="dxa"/>
        <w:jc w:val="center"/>
        <w:tblLook w:val="04A0" w:firstRow="1" w:lastRow="0" w:firstColumn="1" w:lastColumn="0" w:noHBand="0" w:noVBand="1"/>
      </w:tblPr>
      <w:tblGrid>
        <w:gridCol w:w="1985"/>
        <w:gridCol w:w="8788"/>
      </w:tblGrid>
      <w:tr w:rsidR="0060276B" w:rsidRPr="00EE3A30" w:rsidTr="00AA6E58">
        <w:trPr>
          <w:trHeight w:val="2722"/>
          <w:jc w:val="center"/>
        </w:trPr>
        <w:tc>
          <w:tcPr>
            <w:tcW w:w="1985" w:type="dxa"/>
            <w:shd w:val="clear" w:color="auto" w:fill="FFFFFF"/>
            <w:vAlign w:val="center"/>
          </w:tcPr>
          <w:p w:rsidR="0060276B" w:rsidRPr="00EE3A30" w:rsidRDefault="0060276B" w:rsidP="00AA6E58">
            <w:pPr>
              <w:spacing w:line="276" w:lineRule="auto"/>
              <w:jc w:val="center"/>
              <w:rPr>
                <w:rFonts w:ascii="Arial" w:hAnsi="Arial" w:cs="Arial"/>
              </w:rPr>
            </w:pPr>
            <w:r w:rsidRPr="00EE3A30">
              <w:rPr>
                <w:rFonts w:ascii="Arial" w:hAnsi="Arial" w:cs="Arial"/>
                <w:noProof/>
              </w:rPr>
              <w:drawing>
                <wp:inline distT="0" distB="0" distL="0" distR="0" wp14:anchorId="096829DE" wp14:editId="7C1AEEA7">
                  <wp:extent cx="1078705" cy="1438273"/>
                  <wp:effectExtent l="0" t="0" r="7620" b="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rsidR="0060276B" w:rsidRPr="009A6D3F" w:rsidRDefault="0060276B" w:rsidP="00AA6E58">
            <w:pPr>
              <w:spacing w:line="276" w:lineRule="auto"/>
              <w:rPr>
                <w:rFonts w:ascii="Arial" w:hAnsi="Arial" w:cs="Arial"/>
                <w:sz w:val="20"/>
              </w:rPr>
            </w:pPr>
            <w:r w:rsidRPr="009A6D3F">
              <w:rPr>
                <w:rFonts w:ascii="Arial" w:hAnsi="Arial" w:cs="Arial"/>
                <w:color w:val="6C6361"/>
                <w:sz w:val="20"/>
              </w:rPr>
              <w:t>Dr. Stephen Thomson is an Associate Professor at City University of Hong Kong, where he leads teaching in administrative law.  He is a Legal Adviser to the Ombudsman of Hong Kong, a member of the Constitutional Affairs and Human Rights Committee of the Law Society of Hong Kong, and an examiner on the Overseas Lawyers Qualification Examination.  Dr. Thomson holds a Ph.D. in judicial review from the University of Edinburgh (UK).  In addition to his experience in the field of administrative law, Dr. Thomson is the leading authority on equitable jurisdiction in Scotland where he has written the only book on that subject, cited with approval in the supreme civil court in Scotland.  Dr. Thomson has practical legal and commercial experience, having worked at a UK law firm and acting on a consultancy and advisory basis to law firms, private clients and public bodies in Hong Kong and the UK.</w:t>
            </w:r>
          </w:p>
        </w:tc>
      </w:tr>
    </w:tbl>
    <w:p w:rsidR="0060276B" w:rsidRPr="008E3613" w:rsidRDefault="0060276B" w:rsidP="0060276B">
      <w:pPr>
        <w:spacing w:line="276" w:lineRule="auto"/>
        <w:rPr>
          <w:rFonts w:ascii="Arial" w:hAnsi="Arial" w:cs="Arial"/>
          <w:sz w:val="14"/>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60276B" w:rsidRPr="00257860" w:rsidTr="00AA6E58">
        <w:trPr>
          <w:trHeight w:val="2274"/>
          <w:jc w:val="center"/>
        </w:trPr>
        <w:tc>
          <w:tcPr>
            <w:tcW w:w="10773" w:type="dxa"/>
            <w:gridSpan w:val="2"/>
            <w:tcBorders>
              <w:top w:val="nil"/>
              <w:bottom w:val="nil"/>
            </w:tcBorders>
            <w:shd w:val="clear" w:color="auto" w:fill="FFFFFF" w:themeFill="background1"/>
            <w:vAlign w:val="center"/>
          </w:tcPr>
          <w:p w:rsidR="0060276B" w:rsidRPr="00257860" w:rsidRDefault="0060276B" w:rsidP="00AA6E58">
            <w:pPr>
              <w:spacing w:line="276" w:lineRule="auto"/>
              <w:rPr>
                <w:rFonts w:ascii="Arial" w:hAnsi="Arial" w:cs="Arial"/>
                <w:color w:val="6C6361"/>
                <w:sz w:val="19"/>
                <w:szCs w:val="19"/>
              </w:rPr>
            </w:pPr>
            <w:r w:rsidRPr="00257860">
              <w:rPr>
                <w:rFonts w:ascii="Arial" w:hAnsi="Arial" w:cs="Arial"/>
                <w:color w:val="6C6361"/>
                <w:sz w:val="19"/>
                <w:szCs w:val="19"/>
              </w:rPr>
              <w:t xml:space="preserve">From applying for a </w:t>
            </w:r>
            <w:proofErr w:type="spellStart"/>
            <w:r w:rsidRPr="00257860">
              <w:rPr>
                <w:rFonts w:ascii="Arial" w:hAnsi="Arial" w:cs="Arial"/>
                <w:color w:val="6C6361"/>
                <w:sz w:val="19"/>
                <w:szCs w:val="19"/>
              </w:rPr>
              <w:t>licence</w:t>
            </w:r>
            <w:proofErr w:type="spellEnd"/>
            <w:r w:rsidRPr="00257860">
              <w:rPr>
                <w:rFonts w:ascii="Arial" w:hAnsi="Arial" w:cs="Arial"/>
                <w:color w:val="6C6361"/>
                <w:sz w:val="19"/>
                <w:szCs w:val="19"/>
              </w:rPr>
              <w:t xml:space="preserve">, to challenging a regulator's decision, a planning approval or an immigration refusal, the decision-making procedures of public bodies regularly affect our and our clients' daily lives.  For those in the private sector, your clients want to be sure that you are fully up-to-date with the law on procedural impropriety so that they know when and how to challenge an unlawful decision-making procedure.  For those in the government or public sector, your department or </w:t>
            </w:r>
            <w:proofErr w:type="spellStart"/>
            <w:r w:rsidRPr="00257860">
              <w:rPr>
                <w:rFonts w:ascii="Arial" w:hAnsi="Arial" w:cs="Arial"/>
                <w:color w:val="6C6361"/>
                <w:sz w:val="19"/>
                <w:szCs w:val="19"/>
              </w:rPr>
              <w:t>organisation</w:t>
            </w:r>
            <w:proofErr w:type="spellEnd"/>
            <w:r w:rsidRPr="00257860">
              <w:rPr>
                <w:rFonts w:ascii="Arial" w:hAnsi="Arial" w:cs="Arial"/>
                <w:color w:val="6C6361"/>
                <w:sz w:val="19"/>
                <w:szCs w:val="19"/>
              </w:rPr>
              <w:t xml:space="preserve"> needs to ensure that it is acting in full compliance with the legal duties to which its decision-making procedures are subject.</w:t>
            </w:r>
          </w:p>
          <w:p w:rsidR="0060276B" w:rsidRPr="00257860" w:rsidRDefault="0060276B" w:rsidP="00AA6E58">
            <w:pPr>
              <w:spacing w:line="276" w:lineRule="auto"/>
              <w:rPr>
                <w:rFonts w:ascii="Arial" w:hAnsi="Arial" w:cs="Arial"/>
                <w:color w:val="6C6361"/>
                <w:sz w:val="8"/>
                <w:szCs w:val="8"/>
              </w:rPr>
            </w:pPr>
          </w:p>
          <w:p w:rsidR="0060276B" w:rsidRPr="00257860" w:rsidRDefault="0060276B" w:rsidP="00AA6E58">
            <w:pPr>
              <w:spacing w:line="276" w:lineRule="auto"/>
              <w:rPr>
                <w:rFonts w:ascii="Arial" w:hAnsi="Arial" w:cs="Arial"/>
                <w:b/>
                <w:color w:val="524B48"/>
                <w:sz w:val="19"/>
                <w:szCs w:val="19"/>
              </w:rPr>
            </w:pPr>
            <w:r w:rsidRPr="00257860">
              <w:rPr>
                <w:rFonts w:ascii="Arial" w:hAnsi="Arial" w:cs="Arial"/>
                <w:color w:val="6C6361"/>
                <w:sz w:val="19"/>
                <w:szCs w:val="19"/>
              </w:rPr>
              <w:t>This seminar will take you through the main aspects of the law on procedural impropriety including the right to be heard, the right to be represented, the duty to give reasons for a decision, and bias.  Real cases will be used to explain and illustrate the main points and your seminar leader will be delighted to answer your questions on the day.  The session will be useful for solicitors in both the public and private sector; and to those who both seek to launch a judicial review application or who may find themselves on the receiving end of one.  Don't be left behind!</w:t>
            </w:r>
          </w:p>
        </w:tc>
      </w:tr>
      <w:tr w:rsidR="0060276B" w:rsidRPr="00257860" w:rsidTr="00AA6E58">
        <w:trPr>
          <w:trHeight w:val="284"/>
          <w:jc w:val="center"/>
        </w:trPr>
        <w:tc>
          <w:tcPr>
            <w:tcW w:w="9072" w:type="dxa"/>
            <w:tcBorders>
              <w:top w:val="nil"/>
              <w:bottom w:val="nil"/>
              <w:right w:val="nil"/>
            </w:tcBorders>
            <w:shd w:val="clear" w:color="auto" w:fill="F0EBE1"/>
            <w:vAlign w:val="center"/>
          </w:tcPr>
          <w:p w:rsidR="0060276B" w:rsidRPr="00257860" w:rsidRDefault="0060276B" w:rsidP="00AA6E58">
            <w:pPr>
              <w:jc w:val="left"/>
              <w:rPr>
                <w:rFonts w:ascii="Arial" w:hAnsi="Arial" w:cs="Arial"/>
                <w:b/>
                <w:color w:val="524B48"/>
                <w:sz w:val="19"/>
                <w:szCs w:val="19"/>
              </w:rPr>
            </w:pPr>
            <w:r w:rsidRPr="00257860">
              <w:rPr>
                <w:rFonts w:ascii="Arial" w:hAnsi="Arial" w:cs="Arial"/>
                <w:b/>
                <w:color w:val="524B48"/>
                <w:sz w:val="19"/>
                <w:szCs w:val="19"/>
              </w:rPr>
              <w:t>Key points covered:</w:t>
            </w:r>
          </w:p>
        </w:tc>
        <w:tc>
          <w:tcPr>
            <w:tcW w:w="1701" w:type="dxa"/>
            <w:vMerge w:val="restart"/>
            <w:tcBorders>
              <w:top w:val="nil"/>
              <w:left w:val="nil"/>
              <w:bottom w:val="nil"/>
            </w:tcBorders>
            <w:shd w:val="clear" w:color="auto" w:fill="FFFFFF" w:themeFill="background1"/>
            <w:vAlign w:val="center"/>
          </w:tcPr>
          <w:p w:rsidR="0060276B" w:rsidRPr="00257860" w:rsidRDefault="0060276B" w:rsidP="00AA6E58">
            <w:pPr>
              <w:jc w:val="center"/>
              <w:rPr>
                <w:rFonts w:ascii="Arial" w:hAnsi="Arial" w:cs="Arial"/>
                <w:b/>
                <w:color w:val="524B48"/>
                <w:sz w:val="19"/>
                <w:szCs w:val="19"/>
              </w:rPr>
            </w:pPr>
            <w:r w:rsidRPr="008E3613">
              <w:rPr>
                <w:rFonts w:ascii="Arial" w:hAnsi="Arial" w:cs="Arial"/>
                <w:noProof/>
                <w:color w:val="6C6361"/>
                <w:sz w:val="19"/>
                <w:szCs w:val="19"/>
              </w:rPr>
              <w:drawing>
                <wp:inline distT="0" distB="0" distL="0" distR="0" wp14:anchorId="30428809" wp14:editId="0369956B">
                  <wp:extent cx="892800" cy="1022400"/>
                  <wp:effectExtent l="0" t="0" r="317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22400"/>
                          </a:xfrm>
                          <a:prstGeom prst="rect">
                            <a:avLst/>
                          </a:prstGeom>
                          <a:noFill/>
                          <a:ln>
                            <a:noFill/>
                          </a:ln>
                        </pic:spPr>
                      </pic:pic>
                    </a:graphicData>
                  </a:graphic>
                </wp:inline>
              </w:drawing>
            </w:r>
          </w:p>
        </w:tc>
      </w:tr>
      <w:tr w:rsidR="0060276B" w:rsidRPr="00257860" w:rsidTr="00AA6E58">
        <w:trPr>
          <w:trHeight w:val="1588"/>
          <w:jc w:val="center"/>
        </w:trPr>
        <w:tc>
          <w:tcPr>
            <w:tcW w:w="9072" w:type="dxa"/>
            <w:tcBorders>
              <w:top w:val="nil"/>
              <w:bottom w:val="nil"/>
              <w:right w:val="nil"/>
            </w:tcBorders>
            <w:shd w:val="clear" w:color="auto" w:fill="FFFFFF"/>
            <w:vAlign w:val="center"/>
          </w:tcPr>
          <w:p w:rsidR="0060276B" w:rsidRPr="00257860" w:rsidRDefault="0060276B" w:rsidP="00AA6E58">
            <w:pPr>
              <w:pStyle w:val="ListParagraph"/>
              <w:numPr>
                <w:ilvl w:val="0"/>
                <w:numId w:val="2"/>
              </w:numPr>
              <w:spacing w:line="276" w:lineRule="auto"/>
              <w:rPr>
                <w:rFonts w:ascii="Arial" w:hAnsi="Arial" w:cs="Arial"/>
                <w:color w:val="6C6361"/>
                <w:sz w:val="19"/>
                <w:szCs w:val="19"/>
              </w:rPr>
            </w:pPr>
            <w:r w:rsidRPr="00257860">
              <w:rPr>
                <w:rFonts w:ascii="Arial" w:hAnsi="Arial" w:cs="Arial"/>
                <w:color w:val="6C6361"/>
                <w:sz w:val="19"/>
                <w:szCs w:val="19"/>
              </w:rPr>
              <w:t>Up-to-date coverage of procedural impropriety as a ground of judicial review</w:t>
            </w:r>
          </w:p>
          <w:p w:rsidR="0060276B" w:rsidRPr="00257860" w:rsidRDefault="0060276B" w:rsidP="00AA6E58">
            <w:pPr>
              <w:pStyle w:val="ListParagraph"/>
              <w:numPr>
                <w:ilvl w:val="0"/>
                <w:numId w:val="2"/>
              </w:numPr>
              <w:spacing w:line="276" w:lineRule="auto"/>
              <w:rPr>
                <w:rFonts w:ascii="Arial" w:hAnsi="Arial" w:cs="Arial"/>
                <w:color w:val="6C6361"/>
                <w:sz w:val="19"/>
                <w:szCs w:val="19"/>
              </w:rPr>
            </w:pPr>
            <w:r w:rsidRPr="00257860">
              <w:rPr>
                <w:rFonts w:ascii="Arial" w:hAnsi="Arial" w:cs="Arial"/>
                <w:color w:val="6C6361"/>
                <w:sz w:val="19"/>
                <w:szCs w:val="19"/>
              </w:rPr>
              <w:t>Explanation of the key aspects of procedural impropriety: the right to be heard, the right to be represented, the duty to give reasons for a decision, and bias</w:t>
            </w:r>
          </w:p>
          <w:p w:rsidR="0060276B" w:rsidRPr="00257860" w:rsidRDefault="0060276B" w:rsidP="00AA6E58">
            <w:pPr>
              <w:pStyle w:val="ListParagraph"/>
              <w:numPr>
                <w:ilvl w:val="0"/>
                <w:numId w:val="2"/>
              </w:numPr>
              <w:spacing w:line="276" w:lineRule="auto"/>
              <w:rPr>
                <w:rFonts w:ascii="Arial" w:hAnsi="Arial" w:cs="Arial"/>
                <w:color w:val="6C6361"/>
                <w:sz w:val="19"/>
                <w:szCs w:val="19"/>
              </w:rPr>
            </w:pPr>
            <w:r w:rsidRPr="00257860">
              <w:rPr>
                <w:rFonts w:ascii="Arial" w:hAnsi="Arial" w:cs="Arial"/>
                <w:color w:val="6C6361"/>
                <w:sz w:val="19"/>
                <w:szCs w:val="19"/>
              </w:rPr>
              <w:t>Aimed at applicants and respondents; those working in private practice, and those working in government and the public sector</w:t>
            </w:r>
          </w:p>
          <w:p w:rsidR="0060276B" w:rsidRPr="00257860" w:rsidRDefault="0060276B" w:rsidP="00AA6E58">
            <w:pPr>
              <w:pStyle w:val="ListParagraph"/>
              <w:numPr>
                <w:ilvl w:val="0"/>
                <w:numId w:val="2"/>
              </w:numPr>
              <w:rPr>
                <w:rFonts w:ascii="Arial" w:hAnsi="Arial" w:cs="Arial"/>
                <w:color w:val="6C6361"/>
                <w:sz w:val="19"/>
                <w:szCs w:val="19"/>
              </w:rPr>
            </w:pPr>
            <w:r w:rsidRPr="00257860">
              <w:rPr>
                <w:rFonts w:ascii="Arial" w:hAnsi="Arial" w:cs="Arial"/>
                <w:color w:val="6C6361"/>
                <w:sz w:val="19"/>
                <w:szCs w:val="19"/>
              </w:rPr>
              <w:t>Use of real cases to explain and illustrate the main points</w:t>
            </w:r>
          </w:p>
        </w:tc>
        <w:tc>
          <w:tcPr>
            <w:tcW w:w="1701" w:type="dxa"/>
            <w:vMerge/>
            <w:tcBorders>
              <w:left w:val="nil"/>
              <w:bottom w:val="nil"/>
            </w:tcBorders>
            <w:shd w:val="clear" w:color="auto" w:fill="FFFFFF" w:themeFill="background1"/>
            <w:vAlign w:val="center"/>
          </w:tcPr>
          <w:p w:rsidR="0060276B" w:rsidRPr="00257860" w:rsidRDefault="0060276B" w:rsidP="00AA6E58">
            <w:pPr>
              <w:jc w:val="center"/>
              <w:rPr>
                <w:rFonts w:ascii="Arial" w:hAnsi="Arial" w:cs="Arial"/>
                <w:color w:val="6C6361"/>
                <w:sz w:val="19"/>
                <w:szCs w:val="19"/>
              </w:rPr>
            </w:pPr>
          </w:p>
        </w:tc>
      </w:tr>
    </w:tbl>
    <w:p w:rsidR="004759FB" w:rsidRPr="0060276B" w:rsidRDefault="004759FB" w:rsidP="005C693B">
      <w:pPr>
        <w:spacing w:line="276" w:lineRule="auto"/>
        <w:rPr>
          <w:rFonts w:ascii="Arial" w:hAnsi="Arial" w:cs="Arial"/>
          <w:sz w:val="14"/>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2880"/>
        <w:gridCol w:w="794"/>
        <w:gridCol w:w="1700"/>
        <w:gridCol w:w="2464"/>
        <w:gridCol w:w="1239"/>
      </w:tblGrid>
      <w:tr w:rsidR="0060276B" w:rsidRPr="005A2F25" w:rsidTr="007A74B2">
        <w:trPr>
          <w:trHeight w:val="340"/>
          <w:jc w:val="center"/>
        </w:trPr>
        <w:tc>
          <w:tcPr>
            <w:tcW w:w="1695" w:type="dxa"/>
            <w:tcBorders>
              <w:top w:val="nil"/>
              <w:left w:val="nil"/>
              <w:bottom w:val="single" w:sz="12" w:space="0" w:color="FFFFFF"/>
            </w:tcBorders>
            <w:shd w:val="clear" w:color="auto" w:fill="F0EBE1"/>
            <w:vAlign w:val="center"/>
          </w:tcPr>
          <w:p w:rsidR="0060276B" w:rsidRPr="002343EF" w:rsidRDefault="0060276B" w:rsidP="006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74" w:type="dxa"/>
            <w:gridSpan w:val="2"/>
            <w:tcBorders>
              <w:top w:val="nil"/>
              <w:bottom w:val="single" w:sz="12" w:space="0" w:color="F0EBE1"/>
            </w:tcBorders>
            <w:shd w:val="clear" w:color="auto" w:fill="FFFFFF"/>
            <w:vAlign w:val="center"/>
          </w:tcPr>
          <w:p w:rsidR="0060276B" w:rsidRPr="002343EF" w:rsidRDefault="0060276B" w:rsidP="006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EVT000000266</w:t>
            </w:r>
          </w:p>
        </w:tc>
        <w:tc>
          <w:tcPr>
            <w:tcW w:w="1700" w:type="dxa"/>
            <w:tcBorders>
              <w:top w:val="nil"/>
              <w:bottom w:val="single" w:sz="12" w:space="0" w:color="FFFFFF"/>
            </w:tcBorders>
            <w:shd w:val="clear" w:color="auto" w:fill="F0EBE1"/>
            <w:vAlign w:val="center"/>
          </w:tcPr>
          <w:p w:rsidR="0060276B" w:rsidRPr="002343EF" w:rsidRDefault="0060276B" w:rsidP="006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703" w:type="dxa"/>
            <w:gridSpan w:val="2"/>
            <w:tcBorders>
              <w:top w:val="nil"/>
              <w:bottom w:val="single" w:sz="12" w:space="0" w:color="F0EBE1"/>
              <w:right w:val="nil"/>
            </w:tcBorders>
            <w:shd w:val="clear" w:color="auto" w:fill="FFFFFF"/>
            <w:vAlign w:val="center"/>
          </w:tcPr>
          <w:p w:rsidR="0060276B" w:rsidRPr="002343EF" w:rsidRDefault="0060276B" w:rsidP="006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60276B" w:rsidRPr="005A2F25" w:rsidTr="007A74B2">
        <w:trPr>
          <w:trHeight w:val="340"/>
          <w:jc w:val="center"/>
        </w:trPr>
        <w:tc>
          <w:tcPr>
            <w:tcW w:w="1695" w:type="dxa"/>
            <w:tcBorders>
              <w:top w:val="single" w:sz="12" w:space="0" w:color="FFFFFF"/>
              <w:left w:val="nil"/>
              <w:bottom w:val="single" w:sz="12" w:space="0" w:color="FFFFFF"/>
            </w:tcBorders>
            <w:shd w:val="clear" w:color="auto" w:fill="F0EBE1"/>
            <w:vAlign w:val="center"/>
          </w:tcPr>
          <w:p w:rsidR="0060276B" w:rsidRPr="002343EF" w:rsidRDefault="0060276B" w:rsidP="006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74" w:type="dxa"/>
            <w:gridSpan w:val="2"/>
            <w:tcBorders>
              <w:top w:val="single" w:sz="12" w:space="0" w:color="F0EBE1"/>
              <w:bottom w:val="single" w:sz="12" w:space="0" w:color="F0EBE1"/>
            </w:tcBorders>
            <w:shd w:val="clear" w:color="auto" w:fill="FFFFFF"/>
            <w:vAlign w:val="center"/>
          </w:tcPr>
          <w:p w:rsidR="0060276B" w:rsidRDefault="0060276B" w:rsidP="006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14 December 2018 (Friday)</w:t>
            </w:r>
          </w:p>
          <w:p w:rsidR="0060276B" w:rsidRPr="006B70C1" w:rsidRDefault="0060276B" w:rsidP="006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(Amended)</w:t>
            </w:r>
          </w:p>
        </w:tc>
        <w:tc>
          <w:tcPr>
            <w:tcW w:w="1700" w:type="dxa"/>
            <w:tcBorders>
              <w:top w:val="single" w:sz="12" w:space="0" w:color="FFFFFF"/>
              <w:bottom w:val="single" w:sz="12" w:space="0" w:color="FFFFFF"/>
            </w:tcBorders>
            <w:shd w:val="clear" w:color="auto" w:fill="F0EBE1"/>
            <w:vAlign w:val="center"/>
          </w:tcPr>
          <w:p w:rsidR="0060276B" w:rsidRPr="002343EF" w:rsidRDefault="0060276B" w:rsidP="006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703" w:type="dxa"/>
            <w:gridSpan w:val="2"/>
            <w:tcBorders>
              <w:top w:val="single" w:sz="12" w:space="0" w:color="F0EBE1"/>
              <w:bottom w:val="single" w:sz="12" w:space="0" w:color="F0EBE1"/>
              <w:right w:val="nil"/>
            </w:tcBorders>
            <w:shd w:val="clear" w:color="auto" w:fill="FFFFFF"/>
            <w:vAlign w:val="center"/>
          </w:tcPr>
          <w:p w:rsidR="0060276B" w:rsidRPr="002343EF" w:rsidRDefault="0060276B" w:rsidP="006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60276B" w:rsidRPr="005A2F25" w:rsidTr="007A74B2">
        <w:trPr>
          <w:trHeight w:val="340"/>
          <w:jc w:val="center"/>
        </w:trPr>
        <w:tc>
          <w:tcPr>
            <w:tcW w:w="1695" w:type="dxa"/>
            <w:tcBorders>
              <w:top w:val="single" w:sz="12" w:space="0" w:color="FFFFFF"/>
              <w:left w:val="nil"/>
              <w:bottom w:val="single" w:sz="12" w:space="0" w:color="FFFFFF"/>
            </w:tcBorders>
            <w:shd w:val="clear" w:color="auto" w:fill="F0EBE1"/>
            <w:vAlign w:val="center"/>
          </w:tcPr>
          <w:p w:rsidR="0060276B" w:rsidRPr="002343EF" w:rsidRDefault="0060276B" w:rsidP="006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74" w:type="dxa"/>
            <w:gridSpan w:val="2"/>
            <w:tcBorders>
              <w:top w:val="single" w:sz="12" w:space="0" w:color="F0EBE1"/>
              <w:bottom w:val="single" w:sz="12" w:space="0" w:color="F0EBE1"/>
            </w:tcBorders>
            <w:shd w:val="clear" w:color="auto" w:fill="FFFFFF"/>
            <w:vAlign w:val="center"/>
          </w:tcPr>
          <w:p w:rsidR="0060276B" w:rsidRDefault="0060276B" w:rsidP="006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w:t>
            </w:r>
          </w:p>
          <w:p w:rsidR="0060276B" w:rsidRPr="00EC7ADB" w:rsidRDefault="0060276B" w:rsidP="006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14</w:t>
            </w:r>
            <w:r w:rsidRPr="00EC7ADB">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rsidR="0060276B" w:rsidRPr="002343EF" w:rsidRDefault="0060276B" w:rsidP="006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703" w:type="dxa"/>
            <w:gridSpan w:val="2"/>
            <w:tcBorders>
              <w:top w:val="single" w:sz="12" w:space="0" w:color="F0EBE1"/>
              <w:bottom w:val="single" w:sz="12" w:space="0" w:color="F0EBE1"/>
              <w:right w:val="nil"/>
            </w:tcBorders>
            <w:shd w:val="clear" w:color="auto" w:fill="FFFFFF"/>
            <w:vAlign w:val="center"/>
          </w:tcPr>
          <w:p w:rsidR="0060276B" w:rsidRPr="006B70C1" w:rsidRDefault="0060276B" w:rsidP="00602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2F4919" w:rsidRPr="005A2F25" w:rsidTr="007A74B2">
        <w:trPr>
          <w:trHeight w:val="1134"/>
          <w:jc w:val="center"/>
        </w:trPr>
        <w:tc>
          <w:tcPr>
            <w:tcW w:w="1695" w:type="dxa"/>
            <w:tcBorders>
              <w:top w:val="single" w:sz="12" w:space="0" w:color="FFFFFF"/>
              <w:left w:val="nil"/>
              <w:bottom w:val="nil"/>
            </w:tcBorders>
            <w:shd w:val="clear" w:color="auto" w:fill="F0EBE1"/>
            <w:vAlign w:val="center"/>
          </w:tcPr>
          <w:p w:rsidR="002F4919" w:rsidRPr="002343EF"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80" w:type="dxa"/>
            <w:tcBorders>
              <w:top w:val="single" w:sz="12" w:space="0" w:color="F0EBE1"/>
              <w:bottom w:val="nil"/>
              <w:right w:val="nil"/>
            </w:tcBorders>
            <w:shd w:val="clear" w:color="auto" w:fill="FFFFFF"/>
            <w:vAlign w:val="center"/>
          </w:tcPr>
          <w:p w:rsidR="002F4919" w:rsidRPr="00482956" w:rsidRDefault="002F4919" w:rsidP="002F4919">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sidRPr="00482956">
              <w:rPr>
                <w:rFonts w:ascii="Arial" w:hAnsi="Arial" w:cs="Arial"/>
                <w:b/>
                <w:color w:val="6C6361"/>
                <w:sz w:val="20"/>
                <w:szCs w:val="20"/>
              </w:rPr>
              <w:instrText xml:space="preserve"> HYPERLINK "http://goo.gl/maps/DKYQ1" </w:instrText>
            </w:r>
            <w:r w:rsidRPr="00482956">
              <w:rPr>
                <w:rFonts w:ascii="Arial" w:hAnsi="Arial" w:cs="Arial"/>
                <w:b/>
                <w:color w:val="6C6361"/>
                <w:sz w:val="20"/>
                <w:szCs w:val="20"/>
              </w:rPr>
              <w:fldChar w:fldCharType="separate"/>
            </w:r>
            <w:r w:rsidRPr="00482956">
              <w:rPr>
                <w:rStyle w:val="Hyperlink"/>
                <w:rFonts w:ascii="Arial" w:hAnsi="Arial" w:cs="Arial"/>
                <w:b/>
                <w:color w:val="6C6361"/>
                <w:sz w:val="20"/>
                <w:szCs w:val="20"/>
                <w:u w:val="none"/>
              </w:rPr>
              <w:t>Kornerstone Institute</w:t>
            </w:r>
          </w:p>
          <w:p w:rsidR="002F4919" w:rsidRPr="00F36D9A"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15/F, Hip Shing Hong Centre</w:t>
            </w:r>
          </w:p>
          <w:p w:rsidR="002F4919" w:rsidRPr="00F36D9A"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55 Des Voeux Road Central</w:t>
            </w:r>
          </w:p>
          <w:p w:rsidR="002F4919" w:rsidRPr="002343EF"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2F4919" w:rsidRPr="00334CAE" w:rsidRDefault="002F4919" w:rsidP="002F4919">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5F251754" wp14:editId="2CFCDCBE">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2F4919" w:rsidRPr="00334CAE" w:rsidRDefault="002F4919" w:rsidP="002F4919">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64" w:type="dxa"/>
            <w:tcBorders>
              <w:top w:val="single" w:sz="12" w:space="0" w:color="F0EBE1"/>
              <w:bottom w:val="nil"/>
              <w:right w:val="nil"/>
            </w:tcBorders>
            <w:shd w:val="clear" w:color="auto" w:fill="FFFFFF"/>
            <w:vAlign w:val="center"/>
          </w:tcPr>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2F4919" w:rsidRPr="00156567"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7BAD2130" wp14:editId="3BDF292C">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7A74B2" w:rsidRDefault="00214BC6" w:rsidP="005C693B">
      <w:pPr>
        <w:rPr>
          <w:sz w:val="2"/>
          <w:szCs w:val="2"/>
        </w:rPr>
      </w:pPr>
    </w:p>
    <w:sectPr w:rsidR="00214BC6" w:rsidRPr="007A74B2"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2A8C" w:rsidRDefault="00B52A8C" w:rsidP="00546556">
      <w:r>
        <w:separator/>
      </w:r>
    </w:p>
  </w:endnote>
  <w:endnote w:type="continuationSeparator" w:id="0">
    <w:p w:rsidR="00B52A8C" w:rsidRDefault="00B52A8C"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2A8C" w:rsidRDefault="00B52A8C" w:rsidP="00546556">
      <w:r>
        <w:separator/>
      </w:r>
    </w:p>
  </w:footnote>
  <w:footnote w:type="continuationSeparator" w:id="0">
    <w:p w:rsidR="00B52A8C" w:rsidRDefault="00B52A8C"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94"/>
  <w:displayBackgroundShape/>
  <w:gutterAtTop/>
  <w:proofState w:spelling="clean" w:grammar="clean"/>
  <w:documentProtection w:edit="forms" w:enforcement="1" w:cryptProviderType="rsaAES" w:cryptAlgorithmClass="hash" w:cryptAlgorithmType="typeAny" w:cryptAlgorithmSid="14" w:cryptSpinCount="100000" w:hash="EHzVc+eJVSZtRG2M2ZxVLvRLJGru7EcTccL+eYqs7Dhf1/kXNe0+es1aViIeRcW+T+LJ39rWS4Cm2/EOQNDIBQ==" w:salt="Z4M2nqDL7CZ7RS1SC3HHq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56EA4"/>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1B3A"/>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1C7"/>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4919"/>
    <w:rsid w:val="002F5523"/>
    <w:rsid w:val="00300656"/>
    <w:rsid w:val="00300693"/>
    <w:rsid w:val="00300D0E"/>
    <w:rsid w:val="00301E1F"/>
    <w:rsid w:val="00302B25"/>
    <w:rsid w:val="00304C2A"/>
    <w:rsid w:val="00305F22"/>
    <w:rsid w:val="00306557"/>
    <w:rsid w:val="003069F6"/>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77A"/>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59FB"/>
    <w:rsid w:val="0047792B"/>
    <w:rsid w:val="00477964"/>
    <w:rsid w:val="0048351E"/>
    <w:rsid w:val="004857BD"/>
    <w:rsid w:val="00487FFC"/>
    <w:rsid w:val="00490354"/>
    <w:rsid w:val="004905BD"/>
    <w:rsid w:val="00490B9B"/>
    <w:rsid w:val="00491470"/>
    <w:rsid w:val="00491A76"/>
    <w:rsid w:val="00492C41"/>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1"/>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56F5"/>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97ACB"/>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748"/>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6D71"/>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76B"/>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5DDA"/>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4B9"/>
    <w:rsid w:val="00697B49"/>
    <w:rsid w:val="00697CB5"/>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4BF0"/>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53CA"/>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356C"/>
    <w:rsid w:val="007A505B"/>
    <w:rsid w:val="007A5561"/>
    <w:rsid w:val="007A74B2"/>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A8C"/>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4830"/>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1F3E"/>
    <w:rsid w:val="00C467D6"/>
    <w:rsid w:val="00C46B0E"/>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35B5"/>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00B4"/>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0D84"/>
    <w:rsid w:val="00E814D3"/>
    <w:rsid w:val="00E823A1"/>
    <w:rsid w:val="00E84140"/>
    <w:rsid w:val="00E8485A"/>
    <w:rsid w:val="00E84A97"/>
    <w:rsid w:val="00E84D7B"/>
    <w:rsid w:val="00E86E58"/>
    <w:rsid w:val="00E90376"/>
    <w:rsid w:val="00E918A3"/>
    <w:rsid w:val="00E959C0"/>
    <w:rsid w:val="00E96231"/>
    <w:rsid w:val="00E97E66"/>
    <w:rsid w:val="00EA1531"/>
    <w:rsid w:val="00EA1CC5"/>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206/"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66/"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DD40B-D7A7-4CD3-814B-A79E1C07B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491</Words>
  <Characters>2801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CPD Course: Judicial Review in a Nutshell</vt:lpstr>
    </vt:vector>
  </TitlesOfParts>
  <Manager>Tyrone Tsang</Manager>
  <Company>The Profectional Company Limited</Company>
  <LinksUpToDate>false</LinksUpToDate>
  <CharactersWithSpaces>3286</CharactersWithSpaces>
  <SharedDoc>false</SharedDoc>
  <HyperlinkBase>http://download.profectional.com/events/EVT000000266.docx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Decision-Making Procedures: Getting Them Right (and What to Do When They Go Wrong)</dc:title>
  <dc:subject>CPD Course: Decision-Making Procedures: Getting Them Right (and What to Do When They Go Wrong)</dc:subject>
  <dc:creator>The Profectional Company Limited</dc:creator>
  <cp:keywords>Profectional; Kornerstone; CPD; CPT; CLE; CE; RME; Stephen Thomson; Associate Professor; School of Law; City University of Hong Kong</cp:keywords>
  <cp:lastModifiedBy>Tyrone Tsang</cp:lastModifiedBy>
  <cp:revision>58</cp:revision>
  <cp:lastPrinted>2018-12-13T14:45:00Z</cp:lastPrinted>
  <dcterms:created xsi:type="dcterms:W3CDTF">2015-08-21T08:33:00Z</dcterms:created>
  <dcterms:modified xsi:type="dcterms:W3CDTF">2018-12-13T14:45:00Z</dcterms:modified>
</cp:coreProperties>
</file>