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8BF" w:rsidRPr="002E08BF" w:rsidRDefault="002E08BF" w:rsidP="002E08B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E08BF" w:rsidRPr="00523A64" w:rsidTr="002C08A2">
        <w:trPr>
          <w:trHeight w:val="3119"/>
          <w:jc w:val="center"/>
        </w:trPr>
        <w:tc>
          <w:tcPr>
            <w:tcW w:w="4820" w:type="dxa"/>
            <w:shd w:val="clear" w:color="auto" w:fill="FFFFFF"/>
            <w:vAlign w:val="center"/>
          </w:tcPr>
          <w:p w:rsidR="002E08BF" w:rsidRPr="001A3018" w:rsidRDefault="002E08BF" w:rsidP="002C08A2">
            <w:pPr>
              <w:jc w:val="center"/>
              <w:rPr>
                <w:rFonts w:ascii="Arial" w:hAnsi="Arial" w:cs="Arial"/>
                <w:b/>
                <w:bCs/>
                <w:color w:val="524B48"/>
                <w:sz w:val="4"/>
                <w:szCs w:val="4"/>
              </w:rPr>
            </w:pPr>
          </w:p>
          <w:p w:rsidR="002E08BF" w:rsidRDefault="002E08BF" w:rsidP="002C08A2">
            <w:pPr>
              <w:jc w:val="center"/>
              <w:rPr>
                <w:rStyle w:val="Hyperlink"/>
                <w:rFonts w:ascii="Arial" w:hAnsi="Arial" w:cs="Arial"/>
                <w:b/>
                <w:bCs/>
                <w:color w:val="524B48"/>
                <w:sz w:val="32"/>
                <w:szCs w:val="32"/>
                <w:u w:val="none"/>
              </w:rPr>
            </w:pPr>
            <w:r w:rsidRPr="00CF685C">
              <w:fldChar w:fldCharType="begin"/>
            </w:r>
            <w:r>
              <w:instrText>HYPERLINK "http://cpd.hk/evt000000270/"</w:instrText>
            </w:r>
            <w:r w:rsidRPr="00CF685C">
              <w:fldChar w:fldCharType="separate"/>
            </w:r>
            <w:r>
              <w:rPr>
                <w:rStyle w:val="Hyperlink"/>
                <w:rFonts w:ascii="Arial" w:hAnsi="Arial" w:cs="Arial"/>
                <w:b/>
                <w:bCs/>
                <w:color w:val="524B48"/>
                <w:sz w:val="32"/>
                <w:szCs w:val="32"/>
                <w:u w:val="none"/>
              </w:rPr>
              <w:t>A Lawyer’s Guide</w:t>
            </w:r>
          </w:p>
          <w:p w:rsidR="002E08BF" w:rsidRDefault="002E08BF" w:rsidP="002C08A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Dealing</w:t>
            </w:r>
            <w:r>
              <w:rPr>
                <w:rStyle w:val="Hyperlink"/>
                <w:rFonts w:ascii="Arial" w:hAnsi="Arial" w:cs="Arial"/>
                <w:b/>
                <w:bCs/>
                <w:color w:val="524B48"/>
                <w:sz w:val="32"/>
                <w:szCs w:val="32"/>
                <w:u w:val="none"/>
              </w:rPr>
              <w:br/>
              <w:t>with Journalists</w:t>
            </w:r>
          </w:p>
          <w:p w:rsidR="002E08BF" w:rsidRDefault="002E08BF" w:rsidP="002C08A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From Front Page News</w:t>
            </w:r>
          </w:p>
          <w:p w:rsidR="002E08BF" w:rsidRDefault="002E08BF" w:rsidP="002C08A2">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 Media Crisis</w:t>
            </w:r>
          </w:p>
          <w:p w:rsidR="002E08BF" w:rsidRPr="00C65AFD" w:rsidRDefault="002E08BF" w:rsidP="002C08A2">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2E08BF" w:rsidRPr="00C65AFD" w:rsidRDefault="002E08BF" w:rsidP="002C08A2">
            <w:pPr>
              <w:jc w:val="center"/>
              <w:rPr>
                <w:rFonts w:ascii="Arial" w:hAnsi="Arial" w:cs="Arial"/>
                <w:i/>
                <w:color w:val="6C6361"/>
                <w:sz w:val="24"/>
                <w:szCs w:val="24"/>
              </w:rPr>
            </w:pPr>
            <w:r w:rsidRPr="00C65AFD">
              <w:rPr>
                <w:rFonts w:ascii="Arial" w:hAnsi="Arial" w:cs="Arial"/>
                <w:i/>
                <w:color w:val="6C6361"/>
                <w:sz w:val="24"/>
                <w:szCs w:val="24"/>
              </w:rPr>
              <w:t>by</w:t>
            </w:r>
          </w:p>
          <w:p w:rsidR="002E08BF" w:rsidRDefault="002E08BF" w:rsidP="002C08A2">
            <w:pPr>
              <w:jc w:val="center"/>
              <w:rPr>
                <w:rStyle w:val="Hyperlink"/>
                <w:rFonts w:ascii="Arial" w:hAnsi="Arial" w:cs="Arial"/>
                <w:color w:val="6C6361"/>
                <w:sz w:val="24"/>
                <w:szCs w:val="24"/>
                <w:u w:val="none"/>
              </w:rPr>
            </w:pPr>
            <w:hyperlink r:id="rId8" w:history="1">
              <w:proofErr w:type="spellStart"/>
              <w:r>
                <w:rPr>
                  <w:rStyle w:val="Hyperlink"/>
                  <w:rFonts w:ascii="Arial" w:hAnsi="Arial" w:cs="Arial"/>
                  <w:color w:val="6C6361"/>
                  <w:sz w:val="24"/>
                  <w:szCs w:val="24"/>
                  <w:u w:val="none"/>
                </w:rPr>
                <w:t>Ms</w:t>
              </w:r>
              <w:proofErr w:type="spellEnd"/>
              <w:r>
                <w:rPr>
                  <w:rStyle w:val="Hyperlink"/>
                  <w:rFonts w:ascii="Arial" w:hAnsi="Arial" w:cs="Arial"/>
                  <w:color w:val="6C6361"/>
                  <w:sz w:val="24"/>
                  <w:szCs w:val="24"/>
                  <w:u w:val="none"/>
                </w:rPr>
                <w:t xml:space="preserve"> Jane </w:t>
              </w:r>
              <w:proofErr w:type="spellStart"/>
              <w:r>
                <w:rPr>
                  <w:rStyle w:val="Hyperlink"/>
                  <w:rFonts w:ascii="Arial" w:hAnsi="Arial" w:cs="Arial"/>
                  <w:color w:val="6C6361"/>
                  <w:sz w:val="24"/>
                  <w:szCs w:val="24"/>
                  <w:u w:val="none"/>
                </w:rPr>
                <w:t>Moir</w:t>
              </w:r>
              <w:proofErr w:type="spellEnd"/>
            </w:hyperlink>
            <w:r>
              <w:rPr>
                <w:rStyle w:val="Hyperlink"/>
                <w:rFonts w:ascii="Arial" w:hAnsi="Arial" w:cs="Arial"/>
                <w:color w:val="6C6361"/>
                <w:sz w:val="24"/>
                <w:szCs w:val="24"/>
                <w:u w:val="none"/>
              </w:rPr>
              <w:t>,</w:t>
            </w:r>
          </w:p>
          <w:p w:rsidR="002E08BF" w:rsidRPr="00F812B8" w:rsidRDefault="002E08BF" w:rsidP="002C08A2">
            <w:pPr>
              <w:jc w:val="center"/>
              <w:rPr>
                <w:rFonts w:ascii="Arial" w:hAnsi="Arial" w:cs="Arial"/>
                <w:color w:val="6C6361"/>
                <w:sz w:val="24"/>
                <w:szCs w:val="24"/>
              </w:rPr>
            </w:pPr>
            <w:r>
              <w:rPr>
                <w:rFonts w:ascii="Arial" w:hAnsi="Arial" w:cs="Arial"/>
                <w:color w:val="6C6361"/>
                <w:sz w:val="24"/>
                <w:szCs w:val="24"/>
              </w:rPr>
              <w:t>Barrister-at-Law</w:t>
            </w:r>
          </w:p>
          <w:p w:rsidR="002E08BF" w:rsidRPr="00D87ECF" w:rsidRDefault="002E08BF" w:rsidP="002C08A2">
            <w:pPr>
              <w:jc w:val="center"/>
              <w:rPr>
                <w:rFonts w:ascii="Arial" w:hAnsi="Arial" w:cs="Arial"/>
                <w:color w:val="6C6361"/>
                <w:sz w:val="8"/>
                <w:szCs w:val="8"/>
              </w:rPr>
            </w:pPr>
          </w:p>
        </w:tc>
        <w:tc>
          <w:tcPr>
            <w:tcW w:w="5954" w:type="dxa"/>
            <w:shd w:val="clear" w:color="auto" w:fill="FFFFFF"/>
            <w:vAlign w:val="center"/>
          </w:tcPr>
          <w:p w:rsidR="002E08BF" w:rsidRPr="00D50772" w:rsidRDefault="002E08BF" w:rsidP="002C08A2">
            <w:pPr>
              <w:spacing w:line="276" w:lineRule="auto"/>
              <w:jc w:val="center"/>
              <w:rPr>
                <w:rFonts w:ascii="Arial" w:eastAsia="Times New Roman" w:hAnsi="Arial" w:cs="Arial"/>
                <w:noProof/>
                <w:sz w:val="20"/>
                <w:szCs w:val="20"/>
              </w:rPr>
            </w:pPr>
            <w:r w:rsidRPr="00775561">
              <w:rPr>
                <w:rFonts w:ascii="Arial" w:hAnsi="Arial" w:cs="Arial"/>
                <w:noProof/>
                <w:color w:val="6C6361"/>
              </w:rPr>
              <w:drawing>
                <wp:anchor distT="0" distB="0" distL="114300" distR="114300" simplePos="0" relativeHeight="251660288" behindDoc="0" locked="0" layoutInCell="1" allowOverlap="1" wp14:anchorId="67C42510" wp14:editId="6ACEC15C">
                  <wp:simplePos x="0" y="0"/>
                  <wp:positionH relativeFrom="column">
                    <wp:posOffset>3176905</wp:posOffset>
                  </wp:positionH>
                  <wp:positionV relativeFrom="page">
                    <wp:posOffset>-51435</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18DCCB81" wp14:editId="6977C8A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E08BF" w:rsidRPr="00682AC4" w:rsidRDefault="002E08BF" w:rsidP="002E08BF">
      <w:pPr>
        <w:spacing w:line="276" w:lineRule="auto"/>
        <w:jc w:val="left"/>
        <w:rPr>
          <w:rFonts w:ascii="Arial" w:hAnsi="Arial" w:cs="Arial"/>
          <w:sz w:val="16"/>
          <w:szCs w:val="18"/>
        </w:rPr>
      </w:pPr>
    </w:p>
    <w:tbl>
      <w:tblPr>
        <w:tblW w:w="10773" w:type="dxa"/>
        <w:jc w:val="center"/>
        <w:tblLook w:val="04A0" w:firstRow="1" w:lastRow="0" w:firstColumn="1" w:lastColumn="0" w:noHBand="0" w:noVBand="1"/>
      </w:tblPr>
      <w:tblGrid>
        <w:gridCol w:w="1985"/>
        <w:gridCol w:w="8788"/>
      </w:tblGrid>
      <w:tr w:rsidR="002E08BF" w:rsidRPr="001D3EEC" w:rsidTr="002C08A2">
        <w:trPr>
          <w:trHeight w:val="2495"/>
          <w:jc w:val="center"/>
        </w:trPr>
        <w:tc>
          <w:tcPr>
            <w:tcW w:w="1985" w:type="dxa"/>
            <w:shd w:val="clear" w:color="auto" w:fill="FFFFFF"/>
            <w:vAlign w:val="center"/>
          </w:tcPr>
          <w:p w:rsidR="002E08BF" w:rsidRPr="001D3EEC" w:rsidRDefault="002E08BF" w:rsidP="002C08A2">
            <w:pPr>
              <w:spacing w:line="276" w:lineRule="auto"/>
              <w:jc w:val="center"/>
              <w:rPr>
                <w:rFonts w:ascii="Arial" w:hAnsi="Arial" w:cs="Arial"/>
              </w:rPr>
            </w:pPr>
            <w:r w:rsidRPr="001D3EEC">
              <w:rPr>
                <w:rFonts w:ascii="Arial" w:hAnsi="Arial" w:cs="Arial"/>
                <w:noProof/>
              </w:rPr>
              <w:drawing>
                <wp:inline distT="0" distB="0" distL="0" distR="0" wp14:anchorId="335AE3F3" wp14:editId="40E7BD37">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E08BF" w:rsidRPr="001D3EEC" w:rsidRDefault="002E08BF" w:rsidP="002C08A2">
            <w:pPr>
              <w:pStyle w:val="NormalWeb"/>
              <w:rPr>
                <w:rFonts w:ascii="Arial" w:hAnsi="Arial" w:cs="Arial"/>
                <w:color w:val="6C6361"/>
                <w:sz w:val="22"/>
                <w:szCs w:val="22"/>
              </w:rPr>
            </w:pPr>
            <w:r w:rsidRPr="001D3EEC">
              <w:rPr>
                <w:rFonts w:ascii="Arial" w:hAnsi="Arial" w:cs="Arial"/>
                <w:color w:val="6C6361"/>
                <w:sz w:val="22"/>
                <w:szCs w:val="22"/>
              </w:rPr>
              <w:t>Jane worked as a news and business journalist for 16 years in the UK and Hong Kong, including 11 years at the South China Morning Post, before switching careers to become a barrister.  She has written for publications such as the Financial Times, International Herald Tribune and the Observer and continues to contribute articles on legal/media topics today.  She was admitted in Hong Kong as a barrister in 2012 with a strong background in media law, including libel/defamation, privacy, reputation risk and access to information.  She is also a contributing writer for Lexis-Nexis and teaches law part time at HKU Space.</w:t>
            </w:r>
            <w:r>
              <w:rPr>
                <w:rFonts w:ascii="Arial" w:hAnsi="Arial" w:cs="Arial"/>
                <w:color w:val="6C6361"/>
              </w:rPr>
              <w:t xml:space="preserve"> </w:t>
            </w:r>
          </w:p>
        </w:tc>
      </w:tr>
    </w:tbl>
    <w:p w:rsidR="002E08BF" w:rsidRPr="00682AC4" w:rsidRDefault="002E08BF" w:rsidP="002E08BF">
      <w:pPr>
        <w:spacing w:line="276" w:lineRule="auto"/>
        <w:jc w:val="left"/>
        <w:rPr>
          <w:rFonts w:ascii="Arial" w:hAnsi="Arial" w:cs="Arial"/>
          <w:sz w:val="16"/>
          <w:szCs w:val="18"/>
        </w:rPr>
      </w:pPr>
    </w:p>
    <w:tbl>
      <w:tblPr>
        <w:tblW w:w="10773" w:type="dxa"/>
        <w:jc w:val="center"/>
        <w:tblBorders>
          <w:bottom w:val="single" w:sz="12" w:space="0" w:color="FFFFFF"/>
        </w:tblBorders>
        <w:tblLook w:val="04A0" w:firstRow="1" w:lastRow="0" w:firstColumn="1" w:lastColumn="0" w:noHBand="0" w:noVBand="1"/>
      </w:tblPr>
      <w:tblGrid>
        <w:gridCol w:w="9045"/>
        <w:gridCol w:w="1728"/>
      </w:tblGrid>
      <w:tr w:rsidR="002E08BF" w:rsidRPr="003935D1" w:rsidTr="002C08A2">
        <w:trPr>
          <w:trHeight w:val="1361"/>
          <w:jc w:val="center"/>
        </w:trPr>
        <w:tc>
          <w:tcPr>
            <w:tcW w:w="10773" w:type="dxa"/>
            <w:gridSpan w:val="2"/>
            <w:tcBorders>
              <w:top w:val="nil"/>
              <w:bottom w:val="nil"/>
            </w:tcBorders>
            <w:shd w:val="clear" w:color="auto" w:fill="FFFFFF" w:themeFill="background1"/>
            <w:vAlign w:val="center"/>
          </w:tcPr>
          <w:p w:rsidR="002E08BF" w:rsidRPr="00682AC4" w:rsidRDefault="002E08BF" w:rsidP="002C08A2">
            <w:pPr>
              <w:rPr>
                <w:rFonts w:ascii="Arial" w:hAnsi="Arial" w:cs="Arial"/>
                <w:color w:val="6C6361"/>
                <w:szCs w:val="20"/>
              </w:rPr>
            </w:pPr>
            <w:r w:rsidRPr="00682AC4">
              <w:rPr>
                <w:rFonts w:ascii="Arial" w:hAnsi="Arial" w:cs="Arial"/>
                <w:b/>
                <w:color w:val="6C6361"/>
                <w:szCs w:val="20"/>
              </w:rPr>
              <w:t>No news is good news?</w:t>
            </w:r>
            <w:r w:rsidRPr="00682AC4">
              <w:rPr>
                <w:rFonts w:ascii="Arial" w:hAnsi="Arial" w:cs="Arial"/>
                <w:color w:val="6C6361"/>
                <w:szCs w:val="20"/>
              </w:rPr>
              <w:t xml:space="preserve"> Whether you are actively seeking a media profile or trying to keep a client out of the public eye, this course will help you understand what journalists want, how the press operates and will provide tips on mitigating bad news and reputation risk in the fast-moving social media age.  Learn the legal parameters of fair reporting, the latest developments in defamation, press freedom vs. privacy, access to information and the right to be forgotten.</w:t>
            </w:r>
          </w:p>
        </w:tc>
      </w:tr>
      <w:tr w:rsidR="002E08BF" w:rsidRPr="003935D1" w:rsidTr="002C08A2">
        <w:trPr>
          <w:trHeight w:val="340"/>
          <w:jc w:val="center"/>
        </w:trPr>
        <w:tc>
          <w:tcPr>
            <w:tcW w:w="10773" w:type="dxa"/>
            <w:gridSpan w:val="2"/>
            <w:tcBorders>
              <w:top w:val="nil"/>
              <w:bottom w:val="nil"/>
            </w:tcBorders>
            <w:shd w:val="clear" w:color="auto" w:fill="F0EBE1"/>
            <w:vAlign w:val="center"/>
          </w:tcPr>
          <w:p w:rsidR="002E08BF" w:rsidRPr="00682AC4" w:rsidRDefault="002E08BF" w:rsidP="002C08A2">
            <w:pPr>
              <w:rPr>
                <w:rFonts w:ascii="Arial" w:hAnsi="Arial" w:cs="Arial"/>
                <w:b/>
                <w:color w:val="524B48"/>
                <w:szCs w:val="20"/>
              </w:rPr>
            </w:pPr>
            <w:r w:rsidRPr="00682AC4">
              <w:rPr>
                <w:rFonts w:ascii="Arial" w:hAnsi="Arial" w:cs="Arial"/>
                <w:b/>
                <w:color w:val="524B48"/>
                <w:szCs w:val="20"/>
              </w:rPr>
              <w:t>Topics will include:</w:t>
            </w:r>
          </w:p>
        </w:tc>
      </w:tr>
      <w:tr w:rsidR="002E08BF" w:rsidRPr="003935D1" w:rsidTr="002C08A2">
        <w:trPr>
          <w:trHeight w:val="3402"/>
          <w:jc w:val="center"/>
        </w:trPr>
        <w:tc>
          <w:tcPr>
            <w:tcW w:w="9045" w:type="dxa"/>
            <w:tcBorders>
              <w:top w:val="nil"/>
              <w:bottom w:val="nil"/>
              <w:right w:val="nil"/>
            </w:tcBorders>
            <w:shd w:val="clear" w:color="auto" w:fill="FFFFFF"/>
            <w:vAlign w:val="center"/>
          </w:tcPr>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How to build relationships and trust with journalists</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news cycle - how media works</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do</w:t>
            </w:r>
            <w:r w:rsidRPr="00682AC4">
              <w:rPr>
                <w:rFonts w:ascii="Arial" w:hAnsi="Arial" w:cs="Arial"/>
                <w:color w:val="6C6361"/>
                <w:szCs w:val="20"/>
              </w:rPr>
              <w:t>’</w:t>
            </w:r>
            <w:r w:rsidRPr="00682AC4">
              <w:rPr>
                <w:rFonts w:ascii="Arial" w:hAnsi="Arial" w:cs="Arial" w:hint="eastAsia"/>
                <w:color w:val="6C6361"/>
                <w:szCs w:val="20"/>
              </w:rPr>
              <w:t xml:space="preserve">s and </w:t>
            </w:r>
            <w:proofErr w:type="spellStart"/>
            <w:r w:rsidRPr="00682AC4">
              <w:rPr>
                <w:rFonts w:ascii="Arial" w:hAnsi="Arial" w:cs="Arial" w:hint="eastAsia"/>
                <w:color w:val="6C6361"/>
                <w:szCs w:val="20"/>
              </w:rPr>
              <w:t>don</w:t>
            </w:r>
            <w:r w:rsidRPr="00682AC4">
              <w:rPr>
                <w:rFonts w:ascii="Arial" w:hAnsi="Arial" w:cs="Arial"/>
                <w:color w:val="6C6361"/>
                <w:szCs w:val="20"/>
              </w:rPr>
              <w:t>’</w:t>
            </w:r>
            <w:r w:rsidRPr="00682AC4">
              <w:rPr>
                <w:rFonts w:ascii="Arial" w:hAnsi="Arial" w:cs="Arial" w:hint="eastAsia"/>
                <w:color w:val="6C6361"/>
                <w:szCs w:val="20"/>
              </w:rPr>
              <w:t>t</w:t>
            </w:r>
            <w:r w:rsidRPr="00682AC4">
              <w:rPr>
                <w:rFonts w:ascii="Arial" w:hAnsi="Arial" w:cs="Arial"/>
                <w:color w:val="6C6361"/>
                <w:szCs w:val="20"/>
              </w:rPr>
              <w:t>’</w:t>
            </w:r>
            <w:r w:rsidRPr="00682AC4">
              <w:rPr>
                <w:rFonts w:ascii="Arial" w:hAnsi="Arial" w:cs="Arial" w:hint="eastAsia"/>
                <w:color w:val="6C6361"/>
                <w:szCs w:val="20"/>
              </w:rPr>
              <w:t>s</w:t>
            </w:r>
            <w:proofErr w:type="spellEnd"/>
            <w:r w:rsidRPr="00682AC4">
              <w:rPr>
                <w:rFonts w:ascii="Arial" w:hAnsi="Arial" w:cs="Arial" w:hint="eastAsia"/>
                <w:color w:val="6C6361"/>
                <w:szCs w:val="20"/>
              </w:rPr>
              <w:t xml:space="preserve"> of dealing with the media</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What journalists can and cannot report: the rules and reality</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Freedom of the press: issues for Hong Kong</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Court reporting, contempt and stalking</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 xml:space="preserve">Latest developments in defamation and the </w:t>
            </w:r>
            <w:r w:rsidRPr="00682AC4">
              <w:rPr>
                <w:rFonts w:ascii="Arial" w:hAnsi="Arial" w:cs="Arial"/>
                <w:color w:val="6C6361"/>
                <w:szCs w:val="20"/>
              </w:rPr>
              <w:t>‘</w:t>
            </w:r>
            <w:r w:rsidRPr="00682AC4">
              <w:rPr>
                <w:rFonts w:ascii="Arial" w:hAnsi="Arial" w:cs="Arial" w:hint="eastAsia"/>
                <w:color w:val="6C6361"/>
                <w:szCs w:val="20"/>
              </w:rPr>
              <w:t>chill factor</w:t>
            </w:r>
            <w:r w:rsidRPr="00682AC4">
              <w:rPr>
                <w:rFonts w:ascii="Arial" w:hAnsi="Arial" w:cs="Arial"/>
                <w:color w:val="6C6361"/>
                <w:szCs w:val="20"/>
              </w:rPr>
              <w:t>’</w:t>
            </w:r>
          </w:p>
          <w:p w:rsidR="002E08BF" w:rsidRPr="00682AC4" w:rsidRDefault="002E08BF" w:rsidP="002C08A2">
            <w:pPr>
              <w:pStyle w:val="ListParagraph"/>
              <w:ind w:left="360" w:right="-108"/>
              <w:rPr>
                <w:rFonts w:ascii="Arial" w:hAnsi="Arial" w:cs="Arial"/>
                <w:color w:val="6C6361"/>
                <w:szCs w:val="20"/>
              </w:rPr>
            </w:pPr>
            <w:r w:rsidRPr="00682AC4">
              <w:rPr>
                <w:rFonts w:ascii="Arial" w:hAnsi="Arial" w:cs="Arial"/>
                <w:color w:val="6C6361"/>
                <w:szCs w:val="20"/>
              </w:rPr>
              <w:t>-</w:t>
            </w:r>
            <w:r w:rsidRPr="00682AC4">
              <w:rPr>
                <w:rFonts w:ascii="Arial" w:hAnsi="Arial" w:cs="Arial" w:hint="eastAsia"/>
                <w:color w:val="6C6361"/>
                <w:szCs w:val="20"/>
              </w:rPr>
              <w:t xml:space="preserve"> criminal defamation, seditious and blasphemous libel in Hong Kong</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right to know: the law or lack of it</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Protecting and enforcing privacy rights: the story so far</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The right to be forgotten vs</w:t>
            </w:r>
            <w:r w:rsidRPr="00682AC4">
              <w:rPr>
                <w:rFonts w:ascii="Arial" w:hAnsi="Arial" w:cs="Arial"/>
                <w:color w:val="6C6361"/>
                <w:szCs w:val="20"/>
              </w:rPr>
              <w:t>.</w:t>
            </w:r>
            <w:r w:rsidRPr="00682AC4">
              <w:rPr>
                <w:rFonts w:ascii="Arial" w:hAnsi="Arial" w:cs="Arial" w:hint="eastAsia"/>
                <w:color w:val="6C6361"/>
                <w:szCs w:val="20"/>
              </w:rPr>
              <w:t xml:space="preserve"> right to remember - which way now?</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News at the speed of social media: the dangers and challenges</w:t>
            </w:r>
          </w:p>
          <w:p w:rsidR="002E08BF" w:rsidRPr="00682AC4" w:rsidRDefault="002E08BF" w:rsidP="002C08A2">
            <w:pPr>
              <w:pStyle w:val="ListParagraph"/>
              <w:numPr>
                <w:ilvl w:val="0"/>
                <w:numId w:val="2"/>
              </w:numPr>
              <w:ind w:right="-108"/>
              <w:rPr>
                <w:rFonts w:ascii="Arial" w:hAnsi="Arial" w:cs="Arial"/>
                <w:color w:val="6C6361"/>
                <w:szCs w:val="20"/>
              </w:rPr>
            </w:pPr>
            <w:r w:rsidRPr="00682AC4">
              <w:rPr>
                <w:rFonts w:ascii="Arial" w:hAnsi="Arial" w:cs="Arial" w:hint="eastAsia"/>
                <w:color w:val="6C6361"/>
                <w:szCs w:val="20"/>
              </w:rPr>
              <w:t>How to survive a media crisis with your reputation intact: strategy, tactics and case studies</w:t>
            </w:r>
          </w:p>
        </w:tc>
        <w:tc>
          <w:tcPr>
            <w:tcW w:w="1728" w:type="dxa"/>
            <w:tcBorders>
              <w:top w:val="nil"/>
              <w:left w:val="nil"/>
              <w:bottom w:val="nil"/>
            </w:tcBorders>
            <w:shd w:val="clear" w:color="auto" w:fill="FFFFFF"/>
            <w:vAlign w:val="center"/>
          </w:tcPr>
          <w:p w:rsidR="002E08BF" w:rsidRDefault="002E08BF" w:rsidP="002C08A2">
            <w:pPr>
              <w:jc w:val="left"/>
              <w:rPr>
                <w:rFonts w:ascii="Arial" w:hAnsi="Arial" w:cs="Arial"/>
                <w:color w:val="6C6361"/>
                <w:sz w:val="20"/>
                <w:szCs w:val="20"/>
              </w:rPr>
            </w:pPr>
            <w:r w:rsidRPr="00340635">
              <w:rPr>
                <w:rFonts w:ascii="Arial" w:hAnsi="Arial" w:cs="Arial"/>
                <w:b/>
                <w:noProof/>
                <w:color w:val="524B48"/>
                <w:sz w:val="20"/>
                <w:szCs w:val="20"/>
              </w:rPr>
              <w:drawing>
                <wp:anchor distT="0" distB="0" distL="114300" distR="114300" simplePos="0" relativeHeight="251659264" behindDoc="0" locked="0" layoutInCell="1" allowOverlap="1" wp14:anchorId="1552BBF4" wp14:editId="2201325F">
                  <wp:simplePos x="0" y="0"/>
                  <wp:positionH relativeFrom="column">
                    <wp:posOffset>-8890</wp:posOffset>
                  </wp:positionH>
                  <wp:positionV relativeFrom="paragraph">
                    <wp:posOffset>-394970</wp:posOffset>
                  </wp:positionV>
                  <wp:extent cx="895985" cy="10223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08BF" w:rsidRDefault="002E08BF" w:rsidP="002C08A2">
            <w:pPr>
              <w:jc w:val="left"/>
              <w:rPr>
                <w:rFonts w:ascii="Arial" w:hAnsi="Arial" w:cs="Arial"/>
                <w:color w:val="6C6361"/>
                <w:sz w:val="20"/>
                <w:szCs w:val="20"/>
              </w:rPr>
            </w:pPr>
          </w:p>
          <w:p w:rsidR="002E08BF" w:rsidRDefault="002E08BF" w:rsidP="002C08A2">
            <w:pPr>
              <w:jc w:val="left"/>
              <w:rPr>
                <w:rFonts w:ascii="Arial" w:hAnsi="Arial" w:cs="Arial"/>
                <w:color w:val="6C6361"/>
                <w:sz w:val="20"/>
                <w:szCs w:val="20"/>
              </w:rPr>
            </w:pPr>
          </w:p>
          <w:p w:rsidR="002E08BF" w:rsidRDefault="002E08BF" w:rsidP="002C08A2">
            <w:pPr>
              <w:jc w:val="left"/>
              <w:rPr>
                <w:rFonts w:ascii="Arial" w:hAnsi="Arial" w:cs="Arial"/>
                <w:color w:val="6C6361"/>
                <w:sz w:val="20"/>
                <w:szCs w:val="20"/>
              </w:rPr>
            </w:pPr>
          </w:p>
          <w:p w:rsidR="002E08BF" w:rsidRDefault="002E08BF" w:rsidP="002C08A2">
            <w:pPr>
              <w:jc w:val="left"/>
              <w:rPr>
                <w:rFonts w:ascii="Arial" w:hAnsi="Arial" w:cs="Arial"/>
                <w:color w:val="6C6361"/>
                <w:sz w:val="20"/>
                <w:szCs w:val="20"/>
              </w:rPr>
            </w:pPr>
          </w:p>
          <w:p w:rsidR="002E08BF" w:rsidRDefault="002E08BF" w:rsidP="002C08A2">
            <w:pPr>
              <w:jc w:val="left"/>
              <w:rPr>
                <w:rFonts w:ascii="Arial" w:hAnsi="Arial" w:cs="Arial"/>
                <w:color w:val="6C6361"/>
                <w:sz w:val="20"/>
                <w:szCs w:val="20"/>
              </w:rPr>
            </w:pPr>
          </w:p>
          <w:p w:rsidR="002E08BF" w:rsidRPr="003405CD" w:rsidRDefault="002E08BF" w:rsidP="002C08A2">
            <w:pPr>
              <w:ind w:right="-108"/>
              <w:rPr>
                <w:rFonts w:ascii="Arial" w:hAnsi="Arial" w:cs="Arial"/>
                <w:color w:val="6C6361"/>
                <w:sz w:val="20"/>
                <w:szCs w:val="20"/>
              </w:rPr>
            </w:pPr>
          </w:p>
        </w:tc>
      </w:tr>
    </w:tbl>
    <w:p w:rsidR="002E08BF" w:rsidRPr="00046CCB" w:rsidRDefault="002E08BF" w:rsidP="00056B7C">
      <w:pPr>
        <w:spacing w:line="276" w:lineRule="auto"/>
        <w:rPr>
          <w:rFonts w:ascii="Arial" w:hAnsi="Arial" w:cs="Arial"/>
          <w:sz w:val="16"/>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2"/>
        <w:gridCol w:w="2876"/>
        <w:gridCol w:w="794"/>
        <w:gridCol w:w="1700"/>
        <w:gridCol w:w="2471"/>
        <w:gridCol w:w="1239"/>
      </w:tblGrid>
      <w:tr w:rsidR="002E08BF" w:rsidRPr="00320F79" w:rsidTr="007A593A">
        <w:trPr>
          <w:trHeight w:val="397"/>
          <w:jc w:val="center"/>
        </w:trPr>
        <w:tc>
          <w:tcPr>
            <w:tcW w:w="1692" w:type="dxa"/>
            <w:tcBorders>
              <w:top w:val="nil"/>
              <w:left w:val="nil"/>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70" w:type="dxa"/>
            <w:gridSpan w:val="2"/>
            <w:tcBorders>
              <w:top w:val="nil"/>
              <w:bottom w:val="single" w:sz="12" w:space="0" w:color="F0EBE1"/>
            </w:tcBorders>
            <w:shd w:val="clear" w:color="auto" w:fill="FFFFFF"/>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EVT000000270</w:t>
            </w:r>
          </w:p>
        </w:tc>
        <w:tc>
          <w:tcPr>
            <w:tcW w:w="1700" w:type="dxa"/>
            <w:tcBorders>
              <w:top w:val="nil"/>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10" w:type="dxa"/>
            <w:gridSpan w:val="2"/>
            <w:tcBorders>
              <w:top w:val="nil"/>
              <w:bottom w:val="single" w:sz="12" w:space="0" w:color="F0EBE1"/>
              <w:right w:val="nil"/>
            </w:tcBorders>
            <w:shd w:val="clear" w:color="auto" w:fill="FFFFFF"/>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E08BF"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70" w:type="dxa"/>
            <w:gridSpan w:val="2"/>
            <w:tcBorders>
              <w:top w:val="single" w:sz="12" w:space="0" w:color="F0EBE1"/>
              <w:bottom w:val="single" w:sz="12" w:space="0" w:color="F0EBE1"/>
            </w:tcBorders>
            <w:shd w:val="clear" w:color="auto" w:fill="FFFFFF"/>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October 2018 (Tuesday)</w:t>
            </w:r>
          </w:p>
        </w:tc>
        <w:tc>
          <w:tcPr>
            <w:tcW w:w="1700" w:type="dxa"/>
            <w:tcBorders>
              <w:top w:val="single" w:sz="12" w:space="0" w:color="FFFFFF"/>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10" w:type="dxa"/>
            <w:gridSpan w:val="2"/>
            <w:tcBorders>
              <w:top w:val="single" w:sz="12" w:space="0" w:color="F0EBE1"/>
              <w:bottom w:val="single" w:sz="12" w:space="0" w:color="F0EBE1"/>
              <w:right w:val="nil"/>
            </w:tcBorders>
            <w:shd w:val="clear" w:color="auto" w:fill="FFFFFF"/>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E08BF" w:rsidRPr="00320F79" w:rsidTr="007A593A">
        <w:trPr>
          <w:trHeight w:val="397"/>
          <w:jc w:val="center"/>
        </w:trPr>
        <w:tc>
          <w:tcPr>
            <w:tcW w:w="1692" w:type="dxa"/>
            <w:tcBorders>
              <w:top w:val="single" w:sz="12" w:space="0" w:color="FFFFFF"/>
              <w:left w:val="nil"/>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70" w:type="dxa"/>
            <w:gridSpan w:val="2"/>
            <w:tcBorders>
              <w:top w:val="single" w:sz="12" w:space="0" w:color="F0EBE1"/>
              <w:bottom w:val="single" w:sz="12" w:space="0" w:color="F0EBE1"/>
            </w:tcBorders>
            <w:shd w:val="clear" w:color="auto" w:fill="FFFFFF"/>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2E08BF" w:rsidRPr="00320F79"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10" w:type="dxa"/>
            <w:gridSpan w:val="2"/>
            <w:tcBorders>
              <w:top w:val="single" w:sz="12" w:space="0" w:color="F0EBE1"/>
              <w:bottom w:val="single" w:sz="12" w:space="0" w:color="F0EBE1"/>
              <w:right w:val="nil"/>
            </w:tcBorders>
            <w:shd w:val="clear" w:color="auto" w:fill="FFFFFF"/>
            <w:vAlign w:val="center"/>
          </w:tcPr>
          <w:p w:rsidR="002E08BF" w:rsidRPr="00E843DA" w:rsidRDefault="002E08BF" w:rsidP="002E0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3.0 CPD Points</w:t>
            </w:r>
          </w:p>
        </w:tc>
      </w:tr>
      <w:tr w:rsidR="00056B7C" w:rsidRPr="00320F79" w:rsidTr="007A593A">
        <w:trPr>
          <w:trHeight w:val="1247"/>
          <w:jc w:val="center"/>
        </w:trPr>
        <w:tc>
          <w:tcPr>
            <w:tcW w:w="1692" w:type="dxa"/>
            <w:tcBorders>
              <w:top w:val="single" w:sz="12" w:space="0" w:color="FFFFFF"/>
              <w:left w:val="nil"/>
              <w:bottom w:val="nil"/>
            </w:tcBorders>
            <w:shd w:val="clear" w:color="auto" w:fill="F0EBE1"/>
            <w:vAlign w:val="center"/>
          </w:tcPr>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76" w:type="dxa"/>
            <w:tcBorders>
              <w:top w:val="single" w:sz="12" w:space="0" w:color="F0EBE1"/>
              <w:bottom w:val="nil"/>
              <w:right w:val="nil"/>
            </w:tcBorders>
            <w:shd w:val="clear" w:color="auto" w:fill="FFFFFF"/>
            <w:vAlign w:val="center"/>
          </w:tcPr>
          <w:p w:rsidR="00056B7C" w:rsidRPr="00320F79" w:rsidRDefault="00056B7C" w:rsidP="00CA09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056B7C" w:rsidRPr="00320F79"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56B7C" w:rsidRDefault="00056B7C" w:rsidP="00CA0991">
            <w:pPr>
              <w:jc w:val="right"/>
              <w:rPr>
                <w:rFonts w:ascii="Arial" w:hAnsi="Arial" w:cs="Arial"/>
                <w:b/>
                <w:color w:val="6C6361"/>
                <w:sz w:val="20"/>
                <w:szCs w:val="20"/>
              </w:rPr>
            </w:pPr>
          </w:p>
          <w:p w:rsidR="00056B7C" w:rsidRDefault="00056B7C" w:rsidP="00CA0991">
            <w:pPr>
              <w:jc w:val="right"/>
              <w:rPr>
                <w:rFonts w:ascii="Arial" w:hAnsi="Arial" w:cs="Arial"/>
                <w:b/>
                <w:color w:val="6C6361"/>
                <w:sz w:val="20"/>
                <w:szCs w:val="20"/>
              </w:rPr>
            </w:pPr>
          </w:p>
          <w:p w:rsidR="00056B7C" w:rsidRPr="00320F79" w:rsidRDefault="00056B7C" w:rsidP="00CA0991">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45F54CD7" wp14:editId="6E91B1B0">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56B7C" w:rsidRPr="00E2201B" w:rsidRDefault="00056B7C" w:rsidP="00CA0991">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71" w:type="dxa"/>
            <w:tcBorders>
              <w:top w:val="single" w:sz="12" w:space="0" w:color="F0EBE1"/>
              <w:bottom w:val="nil"/>
              <w:right w:val="nil"/>
            </w:tcBorders>
            <w:shd w:val="clear" w:color="auto" w:fill="FFFFFF"/>
            <w:vAlign w:val="center"/>
          </w:tcPr>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056B7C" w:rsidRPr="003A2A41"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056B7C" w:rsidRPr="00156567" w:rsidRDefault="00056B7C" w:rsidP="00CA0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65AA81E" wp14:editId="3EF0786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56B7C" w:rsidRDefault="00214BC6" w:rsidP="000851AD">
      <w:pPr>
        <w:rPr>
          <w:sz w:val="2"/>
          <w:szCs w:val="2"/>
        </w:rPr>
      </w:pPr>
    </w:p>
    <w:sectPr w:rsidR="00214BC6" w:rsidRPr="00056B7C"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624" w:rsidRDefault="00F55624" w:rsidP="00546556">
      <w:r>
        <w:separator/>
      </w:r>
    </w:p>
  </w:endnote>
  <w:endnote w:type="continuationSeparator" w:id="0">
    <w:p w:rsidR="00F55624" w:rsidRDefault="00F5562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624" w:rsidRDefault="00F55624" w:rsidP="00546556">
      <w:r>
        <w:separator/>
      </w:r>
    </w:p>
  </w:footnote>
  <w:footnote w:type="continuationSeparator" w:id="0">
    <w:p w:rsidR="00F55624" w:rsidRDefault="00F55624"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isplayBackgroundShape/>
  <w:gutterAtTop/>
  <w:proofState w:spelling="clean" w:grammar="clean"/>
  <w:documentProtection w:edit="forms" w:enforcement="1" w:cryptProviderType="rsaAES" w:cryptAlgorithmClass="hash" w:cryptAlgorithmType="typeAny" w:cryptAlgorithmSid="14" w:cryptSpinCount="100000" w:hash="Wj19LS2CAhhKYEKXtZpdpiEZCRUfv7nwFGy9J2DAEBqDp2+O874HcglQMsJDbdQd9oLKNErSJuYI+dzCX+DIYA==" w:salt="JVsuj0gfjR4ZaObfS3lsg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8BF"/>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593A"/>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6"/>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5624"/>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0904/"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7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0A42C-14FF-46BB-9D91-B32D7378E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CPD Course: A Lawyer's Guide to Dealing with Journalists - From Front Page News to Media Crisis</vt:lpstr>
    </vt:vector>
  </TitlesOfParts>
  <Manager>Tyrone Tsang</Manager>
  <Company>The Profectional Company Limited</Company>
  <LinksUpToDate>false</LinksUpToDate>
  <CharactersWithSpaces>2517</CharactersWithSpaces>
  <SharedDoc>false</SharedDoc>
  <HyperlinkBase>http://download.profectional.com/events/EVT000000270.docx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 Lawyer's Guide to Dealing with Journalists - From Front Page News to Media Crisis</dc:title>
  <dc:subject>CPD Course: A Lawyer's Guide to Dealing with Journalists - From Front Page News to Media Crisis</dc:subject>
  <dc:creator>The Profectional Company Limited</dc:creator>
  <cp:keywords>Profectional; Kornerstone; CPD; CPT; CLE; CE; RME; Jane Moir; Barrister-at-Law</cp:keywords>
  <cp:lastModifiedBy>Tyrone Tsang</cp:lastModifiedBy>
  <cp:revision>16</cp:revision>
  <cp:lastPrinted>2016-11-25T01:58:00Z</cp:lastPrinted>
  <dcterms:created xsi:type="dcterms:W3CDTF">2015-05-28T16:24:00Z</dcterms:created>
  <dcterms:modified xsi:type="dcterms:W3CDTF">2018-10-30T10:11:00Z</dcterms:modified>
</cp:coreProperties>
</file>