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761" w:rsidRPr="00C02761" w:rsidRDefault="00C02761" w:rsidP="00C027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02761" w:rsidRPr="00523A64" w:rsidTr="00D66E73">
        <w:trPr>
          <w:trHeight w:val="3119"/>
          <w:jc w:val="center"/>
        </w:trPr>
        <w:tc>
          <w:tcPr>
            <w:tcW w:w="4820" w:type="dxa"/>
            <w:shd w:val="clear" w:color="auto" w:fill="FFFFFF"/>
            <w:vAlign w:val="center"/>
          </w:tcPr>
          <w:p w:rsidR="00C02761" w:rsidRPr="001A3018" w:rsidRDefault="00C02761" w:rsidP="00D66E73">
            <w:pPr>
              <w:jc w:val="center"/>
              <w:rPr>
                <w:rFonts w:ascii="Arial" w:hAnsi="Arial" w:cs="Arial"/>
                <w:b/>
                <w:bCs/>
                <w:color w:val="524B48"/>
                <w:sz w:val="4"/>
                <w:szCs w:val="4"/>
              </w:rPr>
            </w:pPr>
          </w:p>
          <w:p w:rsidR="00C02761" w:rsidRDefault="00C02761" w:rsidP="00D66E73">
            <w:pPr>
              <w:jc w:val="center"/>
              <w:rPr>
                <w:rStyle w:val="Hyperlink"/>
                <w:rFonts w:ascii="Arial" w:hAnsi="Arial" w:cs="Arial"/>
                <w:b/>
                <w:bCs/>
                <w:color w:val="524B48"/>
                <w:sz w:val="32"/>
                <w:szCs w:val="32"/>
                <w:u w:val="none"/>
              </w:rPr>
            </w:pPr>
            <w:r w:rsidRPr="00CF685C">
              <w:fldChar w:fldCharType="begin"/>
            </w:r>
            <w:r>
              <w:instrText>HYPERLINK "http://cpd.hk/evt000000281/"</w:instrText>
            </w:r>
            <w:r w:rsidRPr="00CF685C">
              <w:fldChar w:fldCharType="separate"/>
            </w:r>
            <w:r>
              <w:rPr>
                <w:rStyle w:val="Hyperlink"/>
                <w:rFonts w:ascii="Arial" w:hAnsi="Arial" w:cs="Arial"/>
                <w:b/>
                <w:bCs/>
                <w:color w:val="524B48"/>
                <w:sz w:val="32"/>
                <w:szCs w:val="32"/>
                <w:u w:val="none"/>
              </w:rPr>
              <w:t>Valuation in</w:t>
            </w:r>
          </w:p>
          <w:p w:rsidR="00C02761" w:rsidRPr="00CF685C" w:rsidRDefault="00C02761" w:rsidP="00D66E7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Business </w:t>
            </w:r>
            <w:r w:rsidRPr="00244945">
              <w:rPr>
                <w:rStyle w:val="Hyperlink"/>
                <w:rFonts w:ascii="Arial" w:hAnsi="Arial" w:cs="Arial"/>
                <w:b/>
                <w:bCs/>
                <w:color w:val="524B48"/>
                <w:sz w:val="32"/>
                <w:szCs w:val="32"/>
                <w:u w:val="none"/>
              </w:rPr>
              <w:t>and P</w:t>
            </w:r>
            <w:r>
              <w:rPr>
                <w:rStyle w:val="Hyperlink"/>
                <w:rFonts w:ascii="Arial" w:hAnsi="Arial" w:cs="Arial"/>
                <w:b/>
                <w:bCs/>
                <w:color w:val="524B48"/>
                <w:sz w:val="32"/>
                <w:szCs w:val="32"/>
                <w:u w:val="none"/>
              </w:rPr>
              <w:t>roperty</w:t>
            </w:r>
          </w:p>
          <w:p w:rsidR="00C02761" w:rsidRPr="00C65AFD" w:rsidRDefault="00C02761" w:rsidP="00D66E7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02761" w:rsidRPr="00C65AFD" w:rsidRDefault="00C02761" w:rsidP="00D66E73">
            <w:pPr>
              <w:jc w:val="center"/>
              <w:rPr>
                <w:rFonts w:ascii="Arial" w:hAnsi="Arial" w:cs="Arial"/>
                <w:i/>
                <w:color w:val="6C6361"/>
                <w:sz w:val="24"/>
                <w:szCs w:val="24"/>
              </w:rPr>
            </w:pPr>
            <w:r w:rsidRPr="00C65AFD">
              <w:rPr>
                <w:rFonts w:ascii="Arial" w:hAnsi="Arial" w:cs="Arial"/>
                <w:i/>
                <w:color w:val="6C6361"/>
                <w:sz w:val="24"/>
                <w:szCs w:val="24"/>
              </w:rPr>
              <w:t>by</w:t>
            </w:r>
          </w:p>
          <w:p w:rsidR="00C02761" w:rsidRDefault="00C02761" w:rsidP="00D66E73">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Alan W.K. Lee</w:t>
              </w:r>
            </w:hyperlink>
            <w:r w:rsidRPr="00A35F54">
              <w:rPr>
                <w:rFonts w:ascii="Arial" w:hAnsi="Arial" w:cs="Arial"/>
                <w:color w:val="6C6361"/>
                <w:sz w:val="24"/>
                <w:szCs w:val="24"/>
              </w:rPr>
              <w:t>,</w:t>
            </w:r>
            <w:r>
              <w:rPr>
                <w:rFonts w:ascii="Arial" w:hAnsi="Arial" w:cs="Arial"/>
                <w:color w:val="6C6361"/>
                <w:sz w:val="24"/>
                <w:szCs w:val="24"/>
              </w:rPr>
              <w:t xml:space="preserve"> Director</w:t>
            </w:r>
          </w:p>
          <w:p w:rsidR="00C02761" w:rsidRPr="00201D8A" w:rsidRDefault="00C02761" w:rsidP="00D66E73">
            <w:pPr>
              <w:jc w:val="center"/>
              <w:rPr>
                <w:rFonts w:ascii="Arial" w:hAnsi="Arial" w:cs="Arial"/>
                <w:color w:val="6C6361"/>
                <w:sz w:val="24"/>
                <w:szCs w:val="24"/>
              </w:rPr>
            </w:pPr>
            <w:r w:rsidRPr="00201D8A">
              <w:rPr>
                <w:rFonts w:ascii="Arial" w:hAnsi="Arial" w:cs="Arial"/>
                <w:color w:val="6C6361"/>
                <w:sz w:val="24"/>
                <w:szCs w:val="24"/>
              </w:rPr>
              <w:t>&amp;</w:t>
            </w:r>
          </w:p>
          <w:p w:rsidR="00C02761" w:rsidRDefault="00C02761" w:rsidP="00D66E73">
            <w:pPr>
              <w:jc w:val="center"/>
              <w:rPr>
                <w:rFonts w:ascii="Arial" w:hAnsi="Arial" w:cs="Arial"/>
                <w:color w:val="6C6361"/>
                <w:sz w:val="24"/>
                <w:szCs w:val="24"/>
              </w:rPr>
            </w:pPr>
            <w:hyperlink r:id="rId9" w:history="1">
              <w:r>
                <w:rPr>
                  <w:rStyle w:val="Hyperlink"/>
                  <w:rFonts w:ascii="Arial" w:hAnsi="Arial" w:cs="Arial"/>
                  <w:color w:val="6C6361"/>
                  <w:sz w:val="24"/>
                  <w:szCs w:val="24"/>
                  <w:u w:val="none"/>
                </w:rPr>
                <w:t>M</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Elvis C.F. Ng</w:t>
              </w:r>
            </w:hyperlink>
            <w:r w:rsidRPr="00A35F54">
              <w:rPr>
                <w:rFonts w:ascii="Arial" w:hAnsi="Arial" w:cs="Arial"/>
                <w:color w:val="6C6361"/>
                <w:sz w:val="24"/>
                <w:szCs w:val="24"/>
              </w:rPr>
              <w:t>,</w:t>
            </w:r>
            <w:r>
              <w:rPr>
                <w:rFonts w:ascii="Arial" w:hAnsi="Arial" w:cs="Arial"/>
                <w:color w:val="6C6361"/>
                <w:sz w:val="24"/>
                <w:szCs w:val="24"/>
              </w:rPr>
              <w:t xml:space="preserve"> Director,</w:t>
            </w:r>
          </w:p>
          <w:p w:rsidR="00C02761" w:rsidRDefault="00C02761" w:rsidP="00D66E73">
            <w:pPr>
              <w:jc w:val="center"/>
              <w:rPr>
                <w:rFonts w:ascii="Arial" w:hAnsi="Arial" w:cs="Arial"/>
                <w:color w:val="6C6361"/>
                <w:sz w:val="24"/>
                <w:szCs w:val="24"/>
              </w:rPr>
            </w:pPr>
            <w:proofErr w:type="spellStart"/>
            <w:r>
              <w:rPr>
                <w:rFonts w:ascii="Arial" w:hAnsi="Arial" w:cs="Arial"/>
                <w:color w:val="6C6361"/>
                <w:sz w:val="24"/>
                <w:szCs w:val="24"/>
              </w:rPr>
              <w:t>Ravia</w:t>
            </w:r>
            <w:proofErr w:type="spellEnd"/>
            <w:r>
              <w:rPr>
                <w:rFonts w:ascii="Arial" w:hAnsi="Arial" w:cs="Arial"/>
                <w:color w:val="6C6361"/>
                <w:sz w:val="24"/>
                <w:szCs w:val="24"/>
              </w:rPr>
              <w:t xml:space="preserve"> Global Appraisal</w:t>
            </w:r>
          </w:p>
          <w:p w:rsidR="00C02761" w:rsidRPr="00A35F54" w:rsidRDefault="00C02761" w:rsidP="00D66E73">
            <w:pPr>
              <w:jc w:val="center"/>
              <w:rPr>
                <w:rFonts w:ascii="Arial" w:hAnsi="Arial" w:cs="Arial"/>
                <w:color w:val="6C6361"/>
                <w:sz w:val="24"/>
                <w:szCs w:val="24"/>
              </w:rPr>
            </w:pPr>
            <w:r>
              <w:rPr>
                <w:rFonts w:ascii="Arial" w:hAnsi="Arial" w:cs="Arial"/>
                <w:color w:val="6C6361"/>
                <w:sz w:val="24"/>
                <w:szCs w:val="24"/>
              </w:rPr>
              <w:t>Advisory Limited</w:t>
            </w:r>
          </w:p>
          <w:p w:rsidR="00C02761" w:rsidRPr="00D87ECF" w:rsidRDefault="00C02761" w:rsidP="00D66E73">
            <w:pPr>
              <w:jc w:val="center"/>
              <w:rPr>
                <w:rFonts w:ascii="Arial" w:hAnsi="Arial" w:cs="Arial"/>
                <w:color w:val="6C6361"/>
                <w:sz w:val="8"/>
                <w:szCs w:val="8"/>
              </w:rPr>
            </w:pPr>
          </w:p>
          <w:p w:rsidR="00C02761" w:rsidRPr="00D87ECF" w:rsidRDefault="00C02761" w:rsidP="00D66E73">
            <w:pPr>
              <w:jc w:val="center"/>
              <w:rPr>
                <w:rFonts w:ascii="Arial" w:hAnsi="Arial" w:cs="Arial"/>
                <w:color w:val="6C6361"/>
                <w:sz w:val="8"/>
                <w:szCs w:val="8"/>
              </w:rPr>
            </w:pPr>
          </w:p>
        </w:tc>
        <w:tc>
          <w:tcPr>
            <w:tcW w:w="5954" w:type="dxa"/>
            <w:shd w:val="clear" w:color="auto" w:fill="FFFFFF"/>
            <w:vAlign w:val="center"/>
          </w:tcPr>
          <w:p w:rsidR="00C02761" w:rsidRPr="00D50772" w:rsidRDefault="00C02761" w:rsidP="00D66E73">
            <w:pPr>
              <w:spacing w:line="276" w:lineRule="auto"/>
              <w:jc w:val="center"/>
              <w:rPr>
                <w:rFonts w:ascii="Arial" w:eastAsia="Times New Roman" w:hAnsi="Arial" w:cs="Arial"/>
                <w:noProof/>
                <w:sz w:val="20"/>
                <w:szCs w:val="20"/>
              </w:rPr>
            </w:pPr>
            <w:r w:rsidRPr="008A0ED2">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1BB4987" wp14:editId="490098E8">
                  <wp:simplePos x="0" y="0"/>
                  <wp:positionH relativeFrom="column">
                    <wp:posOffset>3183255</wp:posOffset>
                  </wp:positionH>
                  <wp:positionV relativeFrom="paragraph">
                    <wp:posOffset>-56515</wp:posOffset>
                  </wp:positionV>
                  <wp:extent cx="535940" cy="546735"/>
                  <wp:effectExtent l="0" t="0" r="0" b="5715"/>
                  <wp:wrapNone/>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6F6E675" wp14:editId="38F3D8BE">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02761" w:rsidRPr="00250A20" w:rsidRDefault="00C02761" w:rsidP="00C02761">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5386"/>
        <w:gridCol w:w="5387"/>
      </w:tblGrid>
      <w:tr w:rsidR="00C02761" w:rsidRPr="00F3214B" w:rsidTr="00D66E73">
        <w:trPr>
          <w:trHeight w:val="1021"/>
          <w:jc w:val="center"/>
        </w:trPr>
        <w:tc>
          <w:tcPr>
            <w:tcW w:w="5387" w:type="dxa"/>
            <w:shd w:val="clear" w:color="auto" w:fill="FFFFFF"/>
            <w:vAlign w:val="center"/>
          </w:tcPr>
          <w:p w:rsidR="00C02761" w:rsidRPr="00F2049A" w:rsidRDefault="00C02761" w:rsidP="00D66E73">
            <w:pPr>
              <w:pStyle w:val="NormalWeb"/>
              <w:jc w:val="right"/>
              <w:rPr>
                <w:rFonts w:ascii="Arial" w:hAnsi="Arial" w:cs="Arial"/>
                <w:color w:val="0067FF"/>
              </w:rPr>
            </w:pPr>
            <w:r w:rsidRPr="00F2049A">
              <w:rPr>
                <w:rFonts w:ascii="Arial" w:hAnsi="Arial" w:cs="Arial"/>
                <w:i/>
                <w:color w:val="0067FF"/>
              </w:rPr>
              <w:t>This course is presented by:</w:t>
            </w:r>
            <w:r w:rsidRPr="00F2049A">
              <w:rPr>
                <w:rFonts w:ascii="Arial" w:hAnsi="Arial" w:cs="Arial"/>
                <w:color w:val="0067FF"/>
              </w:rPr>
              <w:t xml:space="preserve"> </w:t>
            </w:r>
          </w:p>
        </w:tc>
        <w:tc>
          <w:tcPr>
            <w:tcW w:w="5387" w:type="dxa"/>
            <w:shd w:val="clear" w:color="auto" w:fill="FFFFFF"/>
            <w:vAlign w:val="center"/>
          </w:tcPr>
          <w:p w:rsidR="00C02761" w:rsidRPr="00F3214B" w:rsidRDefault="00C02761" w:rsidP="00D66E73">
            <w:pPr>
              <w:pStyle w:val="NormalWeb"/>
              <w:rPr>
                <w:rFonts w:ascii="Arial" w:hAnsi="Arial" w:cs="Arial"/>
                <w:color w:val="6C6361"/>
              </w:rPr>
            </w:pPr>
            <w:r>
              <w:rPr>
                <w:rFonts w:ascii="Arial" w:hAnsi="Arial" w:cs="Arial"/>
                <w:noProof/>
                <w:color w:val="6C6361"/>
              </w:rPr>
              <w:drawing>
                <wp:inline distT="0" distB="0" distL="0" distR="0" wp14:anchorId="7DCEBA60" wp14:editId="7ED0EE68">
                  <wp:extent cx="2016000" cy="515199"/>
                  <wp:effectExtent l="0" t="0" r="3810" b="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GN000000855_20150127.jpg"/>
                          <pic:cNvPicPr/>
                        </pic:nvPicPr>
                        <pic:blipFill>
                          <a:blip r:embed="rId14">
                            <a:extLst>
                              <a:ext uri="{28A0092B-C50C-407E-A947-70E740481C1C}">
                                <a14:useLocalDpi xmlns:a14="http://schemas.microsoft.com/office/drawing/2010/main" val="0"/>
                              </a:ext>
                            </a:extLst>
                          </a:blip>
                          <a:stretch>
                            <a:fillRect/>
                          </a:stretch>
                        </pic:blipFill>
                        <pic:spPr>
                          <a:xfrm>
                            <a:off x="0" y="0"/>
                            <a:ext cx="2016000" cy="515199"/>
                          </a:xfrm>
                          <a:prstGeom prst="rect">
                            <a:avLst/>
                          </a:prstGeom>
                        </pic:spPr>
                      </pic:pic>
                    </a:graphicData>
                  </a:graphic>
                </wp:inline>
              </w:drawing>
            </w:r>
          </w:p>
        </w:tc>
      </w:tr>
    </w:tbl>
    <w:p w:rsidR="00C02761" w:rsidRPr="00250A20" w:rsidRDefault="00C02761" w:rsidP="00C02761">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3288"/>
        <w:gridCol w:w="227"/>
        <w:gridCol w:w="1985"/>
        <w:gridCol w:w="3288"/>
      </w:tblGrid>
      <w:tr w:rsidR="00C02761" w:rsidRPr="002B466D" w:rsidTr="00D66E73">
        <w:trPr>
          <w:trHeight w:val="2856"/>
          <w:jc w:val="center"/>
        </w:trPr>
        <w:tc>
          <w:tcPr>
            <w:tcW w:w="1985" w:type="dxa"/>
            <w:shd w:val="clear" w:color="auto" w:fill="FFFFFF"/>
            <w:vAlign w:val="center"/>
          </w:tcPr>
          <w:p w:rsidR="00C02761" w:rsidRPr="002B466D" w:rsidRDefault="00C02761" w:rsidP="00C02761">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3056FD99" wp14:editId="144BAD21">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5">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3289" w:type="dxa"/>
            <w:shd w:val="clear" w:color="auto" w:fill="FFFFFF"/>
            <w:vAlign w:val="center"/>
          </w:tcPr>
          <w:p w:rsidR="00C02761" w:rsidRPr="00250A20" w:rsidRDefault="00C02761" w:rsidP="00C02761">
            <w:pPr>
              <w:pStyle w:val="NormalWeb"/>
              <w:spacing w:before="0" w:beforeAutospacing="0" w:after="0" w:afterAutospacing="0"/>
              <w:ind w:right="33"/>
              <w:jc w:val="both"/>
              <w:rPr>
                <w:rFonts w:ascii="Arial" w:hAnsi="Arial" w:cs="Arial"/>
                <w:color w:val="6C6361"/>
                <w:sz w:val="20"/>
              </w:rPr>
            </w:pPr>
            <w:r w:rsidRPr="00250A20">
              <w:rPr>
                <w:rFonts w:ascii="Arial" w:hAnsi="Arial" w:cs="Arial"/>
                <w:color w:val="6C6361"/>
                <w:sz w:val="20"/>
              </w:rPr>
              <w:t xml:space="preserve">Dr. Alan W.K. Lee is a Registered Professional Surveyor (General Practice), a member of Hong Kong Institute of Surveyors and an Associate of Australian Property Institute.  He has over 15 years’ experience in Hong Kong, Macau, </w:t>
            </w:r>
            <w:proofErr w:type="gramStart"/>
            <w:r w:rsidRPr="00250A20">
              <w:rPr>
                <w:rFonts w:ascii="Arial" w:hAnsi="Arial" w:cs="Arial"/>
                <w:color w:val="6C6361"/>
                <w:sz w:val="20"/>
              </w:rPr>
              <w:t>the</w:t>
            </w:r>
            <w:proofErr w:type="gramEnd"/>
            <w:r w:rsidRPr="00250A20">
              <w:rPr>
                <w:rFonts w:ascii="Arial" w:hAnsi="Arial" w:cs="Arial"/>
                <w:color w:val="6C6361"/>
                <w:sz w:val="20"/>
              </w:rPr>
              <w:t xml:space="preserve"> PRC, the Asia Pacific Region, European countries and American countries.</w:t>
            </w:r>
          </w:p>
        </w:tc>
        <w:tc>
          <w:tcPr>
            <w:tcW w:w="227" w:type="dxa"/>
            <w:shd w:val="clear" w:color="auto" w:fill="auto"/>
            <w:vAlign w:val="center"/>
          </w:tcPr>
          <w:p w:rsidR="00C02761" w:rsidRPr="002B466D" w:rsidRDefault="00C02761" w:rsidP="00C02761">
            <w:pPr>
              <w:pStyle w:val="NormalWeb"/>
              <w:spacing w:before="0" w:beforeAutospacing="0" w:after="0" w:afterAutospacing="0"/>
              <w:ind w:right="33"/>
              <w:rPr>
                <w:rFonts w:ascii="Arial" w:hAnsi="Arial" w:cs="Arial"/>
                <w:color w:val="6C6361"/>
              </w:rPr>
            </w:pPr>
          </w:p>
        </w:tc>
        <w:tc>
          <w:tcPr>
            <w:tcW w:w="1985" w:type="dxa"/>
            <w:shd w:val="clear" w:color="auto" w:fill="FFFFFF"/>
            <w:vAlign w:val="center"/>
          </w:tcPr>
          <w:p w:rsidR="00C02761" w:rsidRPr="002B466D" w:rsidRDefault="00C02761" w:rsidP="00C02761">
            <w:pPr>
              <w:pStyle w:val="NormalWeb"/>
              <w:spacing w:before="0" w:beforeAutospacing="0" w:after="0" w:afterAutospacing="0"/>
              <w:ind w:right="33"/>
              <w:rPr>
                <w:rFonts w:ascii="Arial" w:hAnsi="Arial" w:cs="Arial"/>
                <w:color w:val="6C6361"/>
              </w:rPr>
            </w:pPr>
            <w:r w:rsidRPr="002B466D">
              <w:rPr>
                <w:rFonts w:ascii="Arial" w:hAnsi="Arial" w:cs="Arial"/>
                <w:noProof/>
              </w:rPr>
              <w:drawing>
                <wp:inline distT="0" distB="0" distL="0" distR="0" wp14:anchorId="363D7699" wp14:editId="6EFB9A7B">
                  <wp:extent cx="1079997" cy="1439996"/>
                  <wp:effectExtent l="0" t="0" r="6350" b="8255"/>
                  <wp:docPr id="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6">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3289" w:type="dxa"/>
            <w:shd w:val="clear" w:color="auto" w:fill="FFFFFF"/>
            <w:vAlign w:val="center"/>
          </w:tcPr>
          <w:p w:rsidR="00C02761" w:rsidRPr="000C7623" w:rsidRDefault="00C02761" w:rsidP="00C02761">
            <w:pPr>
              <w:pStyle w:val="NormalWeb"/>
              <w:spacing w:before="0" w:beforeAutospacing="0" w:after="0" w:afterAutospacing="0"/>
              <w:ind w:right="33"/>
              <w:jc w:val="both"/>
              <w:rPr>
                <w:rFonts w:ascii="Arial" w:hAnsi="Arial" w:cs="Arial"/>
                <w:color w:val="6C6361"/>
                <w:sz w:val="20"/>
                <w:szCs w:val="20"/>
              </w:rPr>
            </w:pPr>
            <w:r w:rsidRPr="000C7623">
              <w:rPr>
                <w:rFonts w:ascii="Arial" w:hAnsi="Arial" w:cs="Arial"/>
                <w:color w:val="6C6361"/>
                <w:sz w:val="20"/>
                <w:szCs w:val="20"/>
              </w:rPr>
              <w:t>Mr. Elvis C.F. Ng is a holder of Chartered Financial Analyst and a certified Financial Risk Manager.  He has over 11 years’ experience in business valuation, transaction advisory and corporate consultancy in the Asia Pacific Region including Hong Kong, the PRC and Australia, as well as in European, American, Middle-east and African countries.</w:t>
            </w:r>
          </w:p>
        </w:tc>
      </w:tr>
    </w:tbl>
    <w:p w:rsidR="00C02761" w:rsidRPr="00250A20" w:rsidRDefault="00C02761" w:rsidP="00C02761">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8961"/>
        <w:gridCol w:w="1812"/>
      </w:tblGrid>
      <w:tr w:rsidR="00C02761" w:rsidRPr="000C7623" w:rsidTr="00D66E73">
        <w:trPr>
          <w:trHeight w:val="1483"/>
          <w:jc w:val="center"/>
        </w:trPr>
        <w:tc>
          <w:tcPr>
            <w:tcW w:w="10773" w:type="dxa"/>
            <w:gridSpan w:val="2"/>
            <w:tcBorders>
              <w:top w:val="nil"/>
              <w:bottom w:val="nil"/>
            </w:tcBorders>
            <w:shd w:val="clear" w:color="auto" w:fill="FFFFFF" w:themeFill="background1"/>
            <w:vAlign w:val="center"/>
          </w:tcPr>
          <w:p w:rsidR="00C02761" w:rsidRPr="000C7623" w:rsidRDefault="00C02761" w:rsidP="00D66E73">
            <w:pPr>
              <w:ind w:right="33"/>
              <w:rPr>
                <w:rFonts w:ascii="Arial" w:hAnsi="Arial" w:cs="Arial"/>
                <w:color w:val="6C6361"/>
                <w:sz w:val="20"/>
                <w:szCs w:val="24"/>
              </w:rPr>
            </w:pPr>
            <w:r w:rsidRPr="000C7623">
              <w:rPr>
                <w:rFonts w:ascii="Arial" w:hAnsi="Arial" w:cs="Arial"/>
                <w:color w:val="6C6361"/>
                <w:sz w:val="20"/>
                <w:szCs w:val="24"/>
              </w:rPr>
              <w:t xml:space="preserve">Valuation arises in a wide variety of situations involving, for example, merger and acquisition, bankruptcy, divorce, taxation, corporate finance and accounting treatment.  In complex disputes, there may be debate over the valuation methodology and major assumptions adopted.  While different </w:t>
            </w:r>
            <w:proofErr w:type="spellStart"/>
            <w:r w:rsidRPr="000C7623">
              <w:rPr>
                <w:rFonts w:ascii="Arial" w:hAnsi="Arial" w:cs="Arial"/>
                <w:color w:val="6C6361"/>
                <w:sz w:val="20"/>
                <w:szCs w:val="24"/>
              </w:rPr>
              <w:t>valuers</w:t>
            </w:r>
            <w:proofErr w:type="spellEnd"/>
            <w:r w:rsidRPr="000C7623">
              <w:rPr>
                <w:rFonts w:ascii="Arial" w:hAnsi="Arial" w:cs="Arial"/>
                <w:color w:val="6C6361"/>
                <w:sz w:val="20"/>
                <w:szCs w:val="24"/>
              </w:rPr>
              <w:t xml:space="preserve"> might have different views and approach on valuing businesses or assets, the core principle remains the same.  The short course aims to provide some general insights about the valuation process, methodology and the fundamental principles of valuation.</w:t>
            </w:r>
          </w:p>
        </w:tc>
      </w:tr>
      <w:tr w:rsidR="00C02761" w:rsidRPr="000C7623" w:rsidTr="00C02761">
        <w:trPr>
          <w:trHeight w:val="397"/>
          <w:jc w:val="center"/>
        </w:trPr>
        <w:tc>
          <w:tcPr>
            <w:tcW w:w="8961" w:type="dxa"/>
            <w:tcBorders>
              <w:top w:val="nil"/>
              <w:bottom w:val="nil"/>
              <w:right w:val="nil"/>
            </w:tcBorders>
            <w:shd w:val="clear" w:color="auto" w:fill="F0EBE1"/>
            <w:vAlign w:val="center"/>
          </w:tcPr>
          <w:p w:rsidR="00C02761" w:rsidRPr="000C7623" w:rsidRDefault="00C02761" w:rsidP="00D66E73">
            <w:pPr>
              <w:rPr>
                <w:rFonts w:ascii="Arial" w:hAnsi="Arial" w:cs="Arial"/>
                <w:b/>
                <w:color w:val="524B48"/>
                <w:sz w:val="20"/>
                <w:szCs w:val="24"/>
              </w:rPr>
            </w:pPr>
            <w:r w:rsidRPr="000C7623">
              <w:rPr>
                <w:rFonts w:ascii="Arial" w:hAnsi="Arial" w:cs="Arial"/>
                <w:b/>
                <w:color w:val="524B48"/>
                <w:sz w:val="20"/>
                <w:szCs w:val="24"/>
              </w:rPr>
              <w:t>This course will cover the followings:</w:t>
            </w:r>
          </w:p>
        </w:tc>
        <w:tc>
          <w:tcPr>
            <w:tcW w:w="1812" w:type="dxa"/>
            <w:vMerge w:val="restart"/>
            <w:tcBorders>
              <w:top w:val="nil"/>
              <w:left w:val="nil"/>
              <w:bottom w:val="nil"/>
            </w:tcBorders>
            <w:shd w:val="clear" w:color="auto" w:fill="FFFFFF" w:themeFill="background1"/>
            <w:vAlign w:val="center"/>
          </w:tcPr>
          <w:p w:rsidR="00C02761" w:rsidRPr="000C7623" w:rsidRDefault="00C02761" w:rsidP="00D66E73">
            <w:pPr>
              <w:jc w:val="center"/>
              <w:rPr>
                <w:rFonts w:ascii="Arial" w:hAnsi="Arial" w:cs="Arial"/>
                <w:b/>
                <w:color w:val="524B48"/>
                <w:sz w:val="20"/>
                <w:szCs w:val="24"/>
              </w:rPr>
            </w:pPr>
            <w:r w:rsidRPr="008A0ED2">
              <w:rPr>
                <w:rFonts w:ascii="Arial" w:hAnsi="Arial" w:cs="Arial"/>
                <w:noProof/>
                <w:color w:val="6C6361"/>
                <w:sz w:val="20"/>
                <w:szCs w:val="24"/>
              </w:rPr>
              <w:drawing>
                <wp:inline distT="0" distB="0" distL="0" distR="0" wp14:anchorId="456244CA" wp14:editId="65F5C6A2">
                  <wp:extent cx="892800" cy="1022400"/>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C02761" w:rsidRPr="000C7623" w:rsidTr="00D66E73">
        <w:trPr>
          <w:trHeight w:val="1649"/>
          <w:jc w:val="center"/>
        </w:trPr>
        <w:tc>
          <w:tcPr>
            <w:tcW w:w="8961" w:type="dxa"/>
            <w:tcBorders>
              <w:top w:val="nil"/>
              <w:bottom w:val="nil"/>
              <w:right w:val="nil"/>
            </w:tcBorders>
            <w:shd w:val="clear" w:color="auto" w:fill="FFFFFF"/>
            <w:vAlign w:val="center"/>
          </w:tcPr>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Valuation Process</w:t>
            </w:r>
          </w:p>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Valuation Methodology</w:t>
            </w:r>
          </w:p>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Major Assumptions in Different Valuation Approaches</w:t>
            </w:r>
          </w:p>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Business Valuation</w:t>
            </w:r>
          </w:p>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 xml:space="preserve">Property Valuation </w:t>
            </w:r>
          </w:p>
          <w:p w:rsidR="00C02761" w:rsidRPr="000C7623" w:rsidRDefault="00C02761" w:rsidP="00D66E73">
            <w:pPr>
              <w:pStyle w:val="ListParagraph"/>
              <w:numPr>
                <w:ilvl w:val="0"/>
                <w:numId w:val="2"/>
              </w:numPr>
              <w:ind w:right="-108"/>
              <w:rPr>
                <w:rFonts w:ascii="Arial" w:hAnsi="Arial" w:cs="Arial"/>
                <w:color w:val="6C6361"/>
                <w:sz w:val="20"/>
                <w:szCs w:val="24"/>
              </w:rPr>
            </w:pPr>
            <w:r w:rsidRPr="000C7623">
              <w:rPr>
                <w:rFonts w:ascii="Arial" w:hAnsi="Arial" w:cs="Arial"/>
                <w:color w:val="6C6361"/>
                <w:sz w:val="20"/>
                <w:szCs w:val="24"/>
              </w:rPr>
              <w:t>Case Studies</w:t>
            </w:r>
          </w:p>
        </w:tc>
        <w:tc>
          <w:tcPr>
            <w:tcW w:w="1812" w:type="dxa"/>
            <w:vMerge/>
            <w:tcBorders>
              <w:left w:val="nil"/>
              <w:bottom w:val="nil"/>
            </w:tcBorders>
            <w:shd w:val="clear" w:color="auto" w:fill="FFFFFF" w:themeFill="background1"/>
            <w:vAlign w:val="center"/>
          </w:tcPr>
          <w:p w:rsidR="00C02761" w:rsidRPr="000C7623" w:rsidRDefault="00C02761" w:rsidP="00D66E73">
            <w:pPr>
              <w:jc w:val="center"/>
              <w:rPr>
                <w:rFonts w:ascii="Arial" w:hAnsi="Arial" w:cs="Arial"/>
                <w:color w:val="6C6361"/>
                <w:sz w:val="20"/>
                <w:szCs w:val="24"/>
              </w:rPr>
            </w:pPr>
          </w:p>
        </w:tc>
      </w:tr>
    </w:tbl>
    <w:p w:rsidR="009B566F" w:rsidRPr="00C02761" w:rsidRDefault="009B566F" w:rsidP="00474066">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C02761" w:rsidRPr="000762CF" w:rsidTr="00C02761">
        <w:trPr>
          <w:trHeight w:val="397"/>
          <w:jc w:val="center"/>
        </w:trPr>
        <w:tc>
          <w:tcPr>
            <w:tcW w:w="1701" w:type="dxa"/>
            <w:tcBorders>
              <w:top w:val="nil"/>
              <w:left w:val="nil"/>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EVT000000281</w:t>
            </w:r>
          </w:p>
        </w:tc>
        <w:tc>
          <w:tcPr>
            <w:tcW w:w="1701" w:type="dxa"/>
            <w:tcBorders>
              <w:top w:val="nil"/>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02761" w:rsidRPr="000762CF" w:rsidTr="00C02761">
        <w:trPr>
          <w:trHeight w:val="397"/>
          <w:jc w:val="center"/>
        </w:trPr>
        <w:tc>
          <w:tcPr>
            <w:tcW w:w="1701" w:type="dxa"/>
            <w:tcBorders>
              <w:top w:val="single" w:sz="12" w:space="0" w:color="FFFFFF"/>
              <w:left w:val="nil"/>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02761" w:rsidRPr="00244945"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20 September 2019 (Friday)</w:t>
            </w:r>
          </w:p>
        </w:tc>
        <w:tc>
          <w:tcPr>
            <w:tcW w:w="1701" w:type="dxa"/>
            <w:tcBorders>
              <w:top w:val="single" w:sz="12" w:space="0" w:color="FFFFFF"/>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C02761" w:rsidRPr="000762CF" w:rsidTr="00C02761">
        <w:trPr>
          <w:trHeight w:val="397"/>
          <w:jc w:val="center"/>
        </w:trPr>
        <w:tc>
          <w:tcPr>
            <w:tcW w:w="1701" w:type="dxa"/>
            <w:tcBorders>
              <w:top w:val="single" w:sz="12" w:space="0" w:color="FFFFFF"/>
              <w:left w:val="nil"/>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02761" w:rsidRPr="000762CF"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02761"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w:t>
            </w:r>
            <w:r w:rsidRPr="000762CF">
              <w:rPr>
                <w:rFonts w:ascii="Arial" w:hAnsi="Arial" w:cs="Arial"/>
                <w:b/>
                <w:color w:val="6C6361"/>
                <w:sz w:val="20"/>
                <w:szCs w:val="20"/>
              </w:rPr>
              <w:t xml:space="preserve">CPD </w:t>
            </w:r>
            <w:r w:rsidRPr="00997B4D">
              <w:rPr>
                <w:rFonts w:ascii="Arial" w:hAnsi="Arial" w:cs="Arial"/>
                <w:b/>
                <w:color w:val="6C6361"/>
                <w:sz w:val="20"/>
                <w:szCs w:val="20"/>
              </w:rPr>
              <w:t>Points</w:t>
            </w:r>
          </w:p>
          <w:p w:rsidR="00C02761" w:rsidRPr="00B86FCB" w:rsidRDefault="00C02761" w:rsidP="00C0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474066" w:rsidRPr="000762CF" w:rsidTr="00C02761">
        <w:trPr>
          <w:trHeight w:val="397"/>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0"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211" w:rsidRDefault="00FD7211" w:rsidP="00546556">
      <w:r>
        <w:separator/>
      </w:r>
    </w:p>
  </w:endnote>
  <w:endnote w:type="continuationSeparator" w:id="0">
    <w:p w:rsidR="00FD7211" w:rsidRDefault="00FD721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211" w:rsidRDefault="00FD7211" w:rsidP="00546556">
      <w:r>
        <w:separator/>
      </w:r>
    </w:p>
  </w:footnote>
  <w:footnote w:type="continuationSeparator" w:id="0">
    <w:p w:rsidR="00FD7211" w:rsidRDefault="00FD721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3"/>
  <w:displayBackgroundShape/>
  <w:gutterAtTop/>
  <w:proofState w:spelling="clean" w:grammar="clean"/>
  <w:documentProtection w:edit="forms" w:enforcement="1" w:cryptProviderType="rsaAES" w:cryptAlgorithmClass="hash" w:cryptAlgorithmType="typeAny" w:cryptAlgorithmSid="14" w:cryptSpinCount="100000" w:hash="L1RO03A4fgFUYkJup+Bf+Ycf6ekAaBp5Z54v087TPUooD0yqKEI0LU1eRpn9o6QYtyf36lQaG8cdRDO3zv3DAg==" w:salt="x8Qz0AuMRICRAzYE/3xRQ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227/" TargetMode="External"/><Relationship Id="rId13" Type="http://schemas.openxmlformats.org/officeDocument/2006/relationships/hyperlink" Target="http://www.raviagroup.com/" TargetMode="External"/><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cpd.hk/evt000000281/"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5228/" TargetMode="External"/><Relationship Id="rId14" Type="http://schemas.openxmlformats.org/officeDocument/2006/relationships/image" Target="media/image3.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B11A8-99EC-4359-A012-E90F9C43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2202</CharactersWithSpaces>
  <SharedDoc>false</SharedDoc>
  <HyperlinkBase>http://download.profectional.com/events/EVT000000281.docx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Valuation in Business and Property</dc:title>
  <dc:subject>CPD Course: Valuation in Business and Property</dc:subject>
  <dc:creator>The Profectional Company Limited</dc:creator>
  <cp:keywords>Profectional; Kornerstone; CPD; CPT; CLE; CE; RME; Alan W.K. Lee; Elvis C.F. Ng; Director; Ravia Global Appraisal Advisory Limited</cp:keywords>
  <cp:lastModifiedBy>Tyrone Tsang</cp:lastModifiedBy>
  <cp:revision>28</cp:revision>
  <cp:lastPrinted>2019-09-19T15:03:00Z</cp:lastPrinted>
  <dcterms:created xsi:type="dcterms:W3CDTF">2015-05-28T16:24:00Z</dcterms:created>
  <dcterms:modified xsi:type="dcterms:W3CDTF">2019-09-19T15:03:00Z</dcterms:modified>
</cp:coreProperties>
</file>