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685" w:rsidRPr="003B7685" w:rsidRDefault="003B7685" w:rsidP="003B7685">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B7685" w:rsidRPr="00523A64" w:rsidTr="00C50BB2">
        <w:trPr>
          <w:trHeight w:val="3119"/>
          <w:jc w:val="center"/>
        </w:trPr>
        <w:tc>
          <w:tcPr>
            <w:tcW w:w="4820" w:type="dxa"/>
            <w:shd w:val="clear" w:color="auto" w:fill="FFFFFF"/>
            <w:vAlign w:val="center"/>
          </w:tcPr>
          <w:p w:rsidR="003B7685" w:rsidRPr="008259A9" w:rsidRDefault="003B7685" w:rsidP="00C50BB2">
            <w:pPr>
              <w:jc w:val="center"/>
              <w:rPr>
                <w:rFonts w:ascii="Arial" w:hAnsi="Arial" w:cs="Arial"/>
                <w:b/>
                <w:bCs/>
                <w:color w:val="524B48"/>
                <w:sz w:val="4"/>
                <w:szCs w:val="4"/>
              </w:rPr>
            </w:pPr>
          </w:p>
          <w:p w:rsidR="003B7685" w:rsidRDefault="003B7685" w:rsidP="00C50BB2">
            <w:pPr>
              <w:jc w:val="center"/>
              <w:rPr>
                <w:rStyle w:val="Hyperlink"/>
                <w:rFonts w:ascii="Arial" w:hAnsi="Arial" w:cs="Arial"/>
                <w:b/>
                <w:bCs/>
                <w:color w:val="524B48"/>
                <w:sz w:val="32"/>
                <w:szCs w:val="32"/>
                <w:u w:val="none"/>
              </w:rPr>
            </w:pPr>
            <w:r>
              <w:fldChar w:fldCharType="begin"/>
            </w:r>
            <w:r>
              <w:instrText>HYPERLINK "http://cpd.hk/evt000000296/"</w:instrText>
            </w:r>
            <w:r>
              <w:fldChar w:fldCharType="separate"/>
            </w:r>
            <w:r>
              <w:rPr>
                <w:rStyle w:val="Hyperlink"/>
                <w:rFonts w:ascii="Arial" w:hAnsi="Arial" w:cs="Arial"/>
                <w:b/>
                <w:bCs/>
                <w:color w:val="524B48"/>
                <w:sz w:val="32"/>
                <w:szCs w:val="32"/>
                <w:u w:val="none"/>
              </w:rPr>
              <w:t>Judicial Review</w:t>
            </w:r>
          </w:p>
          <w:p w:rsidR="003B7685" w:rsidRPr="00032DE4" w:rsidRDefault="003B7685" w:rsidP="00C50BB2">
            <w:pPr>
              <w:jc w:val="center"/>
              <w:rPr>
                <w:rFonts w:ascii="Arial" w:hAnsi="Arial" w:cs="Arial"/>
                <w:b/>
                <w:bCs/>
                <w:color w:val="524B48"/>
                <w:sz w:val="32"/>
                <w:szCs w:val="32"/>
              </w:rPr>
            </w:pPr>
            <w:r>
              <w:rPr>
                <w:rStyle w:val="Hyperlink"/>
                <w:rFonts w:ascii="Arial" w:hAnsi="Arial" w:cs="Arial"/>
                <w:b/>
                <w:bCs/>
                <w:color w:val="524B48"/>
                <w:sz w:val="32"/>
                <w:szCs w:val="32"/>
                <w:u w:val="none"/>
              </w:rPr>
              <w:t>in a Nutshell</w:t>
            </w:r>
            <w:r>
              <w:rPr>
                <w:rStyle w:val="Hyperlink"/>
                <w:rFonts w:ascii="Arial" w:hAnsi="Arial" w:cs="Arial"/>
                <w:b/>
                <w:bCs/>
                <w:color w:val="524B48"/>
                <w:sz w:val="32"/>
                <w:szCs w:val="32"/>
                <w:u w:val="none"/>
              </w:rPr>
              <w:fldChar w:fldCharType="end"/>
            </w:r>
          </w:p>
          <w:p w:rsidR="003B7685" w:rsidRPr="00731F7F" w:rsidRDefault="003B7685" w:rsidP="00C50BB2">
            <w:pPr>
              <w:jc w:val="center"/>
              <w:rPr>
                <w:rFonts w:ascii="Arial" w:hAnsi="Arial" w:cs="Arial"/>
                <w:b/>
                <w:bCs/>
                <w:sz w:val="24"/>
                <w:szCs w:val="28"/>
              </w:rPr>
            </w:pPr>
          </w:p>
          <w:p w:rsidR="003B7685" w:rsidRPr="009D67FA" w:rsidRDefault="003B7685" w:rsidP="00C50BB2">
            <w:pPr>
              <w:jc w:val="center"/>
              <w:rPr>
                <w:rFonts w:ascii="Arial" w:hAnsi="Arial" w:cs="Arial"/>
                <w:i/>
                <w:color w:val="6C6361"/>
                <w:sz w:val="24"/>
                <w:szCs w:val="24"/>
              </w:rPr>
            </w:pPr>
            <w:r w:rsidRPr="009D67FA">
              <w:rPr>
                <w:rFonts w:ascii="Arial" w:hAnsi="Arial" w:cs="Arial"/>
                <w:i/>
                <w:color w:val="6C6361"/>
                <w:sz w:val="24"/>
                <w:szCs w:val="24"/>
              </w:rPr>
              <w:t>by</w:t>
            </w:r>
          </w:p>
          <w:p w:rsidR="003B7685" w:rsidRDefault="003B7685" w:rsidP="00C50BB2">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3B7685" w:rsidRDefault="003B7685" w:rsidP="00C50BB2">
            <w:pPr>
              <w:jc w:val="center"/>
              <w:rPr>
                <w:rFonts w:ascii="Arial" w:hAnsi="Arial" w:cs="Arial"/>
                <w:color w:val="6C6361"/>
                <w:sz w:val="24"/>
                <w:szCs w:val="24"/>
              </w:rPr>
            </w:pPr>
            <w:r>
              <w:rPr>
                <w:rFonts w:ascii="Arial" w:hAnsi="Arial" w:cs="Arial"/>
                <w:color w:val="6C6361"/>
                <w:sz w:val="24"/>
                <w:szCs w:val="24"/>
              </w:rPr>
              <w:t>Associate Professor,</w:t>
            </w:r>
          </w:p>
          <w:p w:rsidR="003B7685" w:rsidRDefault="003B7685" w:rsidP="00C50BB2">
            <w:pPr>
              <w:jc w:val="center"/>
              <w:rPr>
                <w:rFonts w:ascii="Arial" w:hAnsi="Arial" w:cs="Arial"/>
                <w:color w:val="6C6361"/>
                <w:sz w:val="24"/>
                <w:szCs w:val="24"/>
              </w:rPr>
            </w:pPr>
            <w:r>
              <w:rPr>
                <w:rFonts w:ascii="Arial" w:hAnsi="Arial" w:cs="Arial"/>
                <w:color w:val="6C6361"/>
                <w:sz w:val="24"/>
                <w:szCs w:val="24"/>
              </w:rPr>
              <w:t>School of Law,</w:t>
            </w:r>
          </w:p>
          <w:p w:rsidR="003B7685" w:rsidRPr="008259A9" w:rsidRDefault="003B7685" w:rsidP="00C50BB2">
            <w:pPr>
              <w:jc w:val="center"/>
              <w:rPr>
                <w:rFonts w:ascii="Arial" w:hAnsi="Arial" w:cs="Arial"/>
                <w:color w:val="6C6361"/>
                <w:sz w:val="4"/>
                <w:szCs w:val="4"/>
              </w:rPr>
            </w:pPr>
            <w:r w:rsidRPr="00F40C7D">
              <w:rPr>
                <w:rFonts w:ascii="Arial" w:hAnsi="Arial" w:cs="Arial"/>
                <w:color w:val="6C6361"/>
                <w:sz w:val="24"/>
                <w:szCs w:val="24"/>
              </w:rPr>
              <w:t>City University of Hong Kong</w:t>
            </w:r>
          </w:p>
        </w:tc>
        <w:tc>
          <w:tcPr>
            <w:tcW w:w="5954" w:type="dxa"/>
            <w:shd w:val="clear" w:color="auto" w:fill="FFFFFF"/>
            <w:vAlign w:val="center"/>
          </w:tcPr>
          <w:p w:rsidR="003B7685" w:rsidRPr="00D50772" w:rsidRDefault="003B7685" w:rsidP="00C50BB2">
            <w:pPr>
              <w:spacing w:line="276" w:lineRule="auto"/>
              <w:rPr>
                <w:rFonts w:ascii="Arial" w:eastAsia="Times New Roman" w:hAnsi="Arial" w:cs="Arial"/>
                <w:noProof/>
                <w:sz w:val="20"/>
                <w:szCs w:val="20"/>
              </w:rPr>
            </w:pPr>
            <w:r w:rsidRPr="00A464CE">
              <w:rPr>
                <w:rFonts w:ascii="Arial" w:eastAsia="Times New Roman" w:hAnsi="Arial" w:cs="Arial"/>
                <w:noProof/>
                <w:sz w:val="20"/>
                <w:szCs w:val="20"/>
              </w:rPr>
              <w:drawing>
                <wp:anchor distT="0" distB="0" distL="114300" distR="114300" simplePos="0" relativeHeight="251659264" behindDoc="0" locked="0" layoutInCell="1" allowOverlap="1" wp14:anchorId="3D7F1466" wp14:editId="4F3E6E89">
                  <wp:simplePos x="0" y="0"/>
                  <wp:positionH relativeFrom="column">
                    <wp:posOffset>3178175</wp:posOffset>
                  </wp:positionH>
                  <wp:positionV relativeFrom="paragraph">
                    <wp:posOffset>-59690</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92363AC" wp14:editId="4DB39886">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B7685" w:rsidRPr="00F26BAF" w:rsidRDefault="003B7685" w:rsidP="003B7685">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3B7685" w:rsidRPr="00EE3A30" w:rsidTr="00C50BB2">
        <w:trPr>
          <w:trHeight w:val="2722"/>
          <w:jc w:val="center"/>
        </w:trPr>
        <w:tc>
          <w:tcPr>
            <w:tcW w:w="1985" w:type="dxa"/>
            <w:shd w:val="clear" w:color="auto" w:fill="FFFFFF"/>
            <w:vAlign w:val="center"/>
          </w:tcPr>
          <w:p w:rsidR="003B7685" w:rsidRPr="00EE3A30" w:rsidRDefault="003B7685" w:rsidP="00C50BB2">
            <w:pPr>
              <w:spacing w:line="276" w:lineRule="auto"/>
              <w:jc w:val="center"/>
              <w:rPr>
                <w:rFonts w:ascii="Arial" w:hAnsi="Arial" w:cs="Arial"/>
              </w:rPr>
            </w:pPr>
            <w:r w:rsidRPr="00EE3A30">
              <w:rPr>
                <w:rFonts w:ascii="Arial" w:hAnsi="Arial" w:cs="Arial"/>
                <w:noProof/>
              </w:rPr>
              <w:drawing>
                <wp:inline distT="0" distB="0" distL="0" distR="0" wp14:anchorId="7DEF1AC0" wp14:editId="58E2424B">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3B7685" w:rsidRPr="00A464CE" w:rsidRDefault="003B7685" w:rsidP="00C50BB2">
            <w:pPr>
              <w:rPr>
                <w:rFonts w:ascii="Arial" w:hAnsi="Arial" w:cs="Arial"/>
                <w:color w:val="6C6361"/>
                <w:sz w:val="20"/>
                <w:szCs w:val="21"/>
              </w:rPr>
            </w:pPr>
            <w:r w:rsidRPr="00A464CE">
              <w:rPr>
                <w:rFonts w:ascii="Arial" w:hAnsi="Arial" w:cs="Arial"/>
                <w:color w:val="6C6361"/>
                <w:sz w:val="20"/>
                <w:szCs w:val="21"/>
              </w:rPr>
              <w:t xml:space="preserve">Dr. Stephen Thomson is an Associate Professor and Director of the PhD and JSD </w:t>
            </w:r>
            <w:proofErr w:type="spellStart"/>
            <w:r w:rsidRPr="00A464CE">
              <w:rPr>
                <w:rFonts w:ascii="Arial" w:hAnsi="Arial" w:cs="Arial"/>
                <w:color w:val="6C6361"/>
                <w:sz w:val="20"/>
                <w:szCs w:val="21"/>
              </w:rPr>
              <w:t>Programmes</w:t>
            </w:r>
            <w:proofErr w:type="spellEnd"/>
            <w:r w:rsidRPr="00A464CE">
              <w:rPr>
                <w:rFonts w:ascii="Arial" w:hAnsi="Arial" w:cs="Arial"/>
                <w:color w:val="6C6361"/>
                <w:sz w:val="20"/>
                <w:szCs w:val="21"/>
              </w:rPr>
              <w:t xml:space="preserve"> at the School of Law, City University of Hong Kong.  He is a Legal Adviser to the Ombudsman of Hong Kong, a member of the Constitutional Affairs and Human Rights Committee of the Law Society of Hong Kong, and an examiner on the Overseas Lawyers Qualification Examination.  Dr. Thomson is the author of the leading text on ‘Administrative Law in Hong Kong’, and also the author of the only book to have been written on equitable jurisdiction in Scotland, which has been cited with approval in the supreme civil court in Scotland.  He holds a Ph.D. in judicial review from the University of Edinburgh (UK), and has practical legal and commercial experience, having worked at a UK law firm and acted on a consultancy and advisory basis to law firms, private clients and public bodies in Hong Kong and the UK.</w:t>
            </w:r>
          </w:p>
        </w:tc>
      </w:tr>
    </w:tbl>
    <w:p w:rsidR="003B7685" w:rsidRDefault="003B7685" w:rsidP="003B7685">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3B7685" w:rsidRPr="00390282" w:rsidTr="00C50BB2">
        <w:trPr>
          <w:trHeight w:val="2274"/>
          <w:jc w:val="center"/>
        </w:trPr>
        <w:tc>
          <w:tcPr>
            <w:tcW w:w="10773" w:type="dxa"/>
            <w:gridSpan w:val="2"/>
            <w:tcBorders>
              <w:top w:val="nil"/>
              <w:bottom w:val="nil"/>
            </w:tcBorders>
            <w:shd w:val="clear" w:color="auto" w:fill="FFFFFF" w:themeFill="background1"/>
            <w:vAlign w:val="center"/>
          </w:tcPr>
          <w:p w:rsidR="003B7685" w:rsidRPr="009A6D3F" w:rsidRDefault="003B7685" w:rsidP="00C50BB2">
            <w:pPr>
              <w:spacing w:line="276" w:lineRule="auto"/>
              <w:rPr>
                <w:rFonts w:ascii="Arial" w:hAnsi="Arial" w:cs="Arial"/>
                <w:b/>
                <w:color w:val="524B48"/>
                <w:sz w:val="20"/>
              </w:rPr>
            </w:pPr>
            <w:r w:rsidRPr="00EB660B">
              <w:rPr>
                <w:rFonts w:ascii="Arial" w:hAnsi="Arial" w:cs="Arial"/>
                <w:color w:val="6C6361"/>
                <w:sz w:val="20"/>
              </w:rPr>
              <w:t xml:space="preserve">A very useful and easy-to-understand seminar on judicial review in Hong Kong, from the author of the new, leading text on administrative law </w:t>
            </w:r>
            <w:r>
              <w:rPr>
                <w:rFonts w:ascii="Arial" w:hAnsi="Arial" w:cs="Arial"/>
                <w:color w:val="6C6361"/>
                <w:sz w:val="20"/>
              </w:rPr>
              <w:t>in Hong Kong (Stephen Thomson, ‘</w:t>
            </w:r>
            <w:r w:rsidRPr="00EB660B">
              <w:rPr>
                <w:rFonts w:ascii="Arial" w:hAnsi="Arial" w:cs="Arial"/>
                <w:i/>
                <w:color w:val="6C6361"/>
                <w:sz w:val="20"/>
              </w:rPr>
              <w:t>Administrative Law in Hong Kong’</w:t>
            </w:r>
            <w:r w:rsidRPr="00EB660B">
              <w:rPr>
                <w:rFonts w:ascii="Arial" w:hAnsi="Arial" w:cs="Arial"/>
                <w:color w:val="6C6361"/>
                <w:sz w:val="20"/>
              </w:rPr>
              <w:t xml:space="preserve">, Cambridge University Press, 2018). </w:t>
            </w:r>
            <w:r>
              <w:rPr>
                <w:rFonts w:ascii="Arial" w:hAnsi="Arial" w:cs="Arial"/>
                <w:color w:val="6C6361"/>
                <w:sz w:val="20"/>
              </w:rPr>
              <w:t xml:space="preserve"> </w:t>
            </w:r>
            <w:r w:rsidRPr="00EB660B">
              <w:rPr>
                <w:rFonts w:ascii="Arial" w:hAnsi="Arial" w:cs="Arial"/>
                <w:color w:val="6C6361"/>
                <w:sz w:val="20"/>
              </w:rPr>
              <w:t>Whether you work in the public or private sector, it is essential to have a good grasp of this important area of law, which is increasingly prominent in Hong Kong.</w:t>
            </w:r>
            <w:r>
              <w:rPr>
                <w:rFonts w:ascii="Arial" w:hAnsi="Arial" w:cs="Arial"/>
                <w:color w:val="6C6361"/>
                <w:sz w:val="20"/>
              </w:rPr>
              <w:t xml:space="preserve"> </w:t>
            </w:r>
            <w:r w:rsidRPr="00EB660B">
              <w:rPr>
                <w:rFonts w:ascii="Arial" w:hAnsi="Arial" w:cs="Arial"/>
                <w:color w:val="6C6361"/>
                <w:sz w:val="20"/>
              </w:rPr>
              <w:t xml:space="preserve"> The seminar covers the main aspects of procedure that are key to understanding how judicial review works in practice, including the leave stage and standing requirements.</w:t>
            </w:r>
            <w:r>
              <w:rPr>
                <w:rFonts w:ascii="Arial" w:hAnsi="Arial" w:cs="Arial"/>
                <w:color w:val="6C6361"/>
                <w:sz w:val="20"/>
              </w:rPr>
              <w:t xml:space="preserve"> </w:t>
            </w:r>
            <w:r w:rsidRPr="00EB660B">
              <w:rPr>
                <w:rFonts w:ascii="Arial" w:hAnsi="Arial" w:cs="Arial"/>
                <w:color w:val="6C6361"/>
                <w:sz w:val="20"/>
              </w:rPr>
              <w:t xml:space="preserve"> It also gives an overview of the main grounds of judicial review, and a summary of remedies. </w:t>
            </w:r>
            <w:r>
              <w:rPr>
                <w:rFonts w:ascii="Arial" w:hAnsi="Arial" w:cs="Arial"/>
                <w:color w:val="6C6361"/>
                <w:sz w:val="20"/>
              </w:rPr>
              <w:t xml:space="preserve"> </w:t>
            </w:r>
            <w:r w:rsidRPr="00EB660B">
              <w:rPr>
                <w:rFonts w:ascii="Arial" w:hAnsi="Arial" w:cs="Arial"/>
                <w:color w:val="6C6361"/>
                <w:sz w:val="20"/>
              </w:rPr>
              <w:t xml:space="preserve">By the end of the seminar, participants should be more familiar with the procedural and substantive aspects of judicial review in Hong Kong. </w:t>
            </w:r>
            <w:r>
              <w:rPr>
                <w:rFonts w:ascii="Arial" w:hAnsi="Arial" w:cs="Arial"/>
                <w:color w:val="6C6361"/>
                <w:sz w:val="20"/>
              </w:rPr>
              <w:t xml:space="preserve"> </w:t>
            </w:r>
            <w:r w:rsidRPr="00EB660B">
              <w:rPr>
                <w:rFonts w:ascii="Arial" w:hAnsi="Arial" w:cs="Arial"/>
                <w:color w:val="6C6361"/>
                <w:sz w:val="20"/>
              </w:rPr>
              <w:t xml:space="preserve">Don't get caught out </w:t>
            </w:r>
            <w:r>
              <w:rPr>
                <w:rFonts w:ascii="Arial" w:hAnsi="Arial" w:cs="Arial"/>
                <w:color w:val="6C6361"/>
                <w:sz w:val="20"/>
              </w:rPr>
              <w:t>-</w:t>
            </w:r>
            <w:r w:rsidRPr="00EB660B">
              <w:rPr>
                <w:rFonts w:ascii="Arial" w:hAnsi="Arial" w:cs="Arial"/>
                <w:color w:val="6C6361"/>
                <w:sz w:val="20"/>
              </w:rPr>
              <w:t xml:space="preserve"> (re)</w:t>
            </w:r>
            <w:proofErr w:type="spellStart"/>
            <w:r w:rsidRPr="00EB660B">
              <w:rPr>
                <w:rFonts w:ascii="Arial" w:hAnsi="Arial" w:cs="Arial"/>
                <w:color w:val="6C6361"/>
                <w:sz w:val="20"/>
              </w:rPr>
              <w:t>familiarise</w:t>
            </w:r>
            <w:proofErr w:type="spellEnd"/>
            <w:r w:rsidRPr="00EB660B">
              <w:rPr>
                <w:rFonts w:ascii="Arial" w:hAnsi="Arial" w:cs="Arial"/>
                <w:color w:val="6C6361"/>
                <w:sz w:val="20"/>
              </w:rPr>
              <w:t xml:space="preserve"> yourself with this essential area of law!</w:t>
            </w:r>
          </w:p>
        </w:tc>
      </w:tr>
      <w:tr w:rsidR="003B7685" w:rsidRPr="00390282" w:rsidTr="00C50BB2">
        <w:trPr>
          <w:trHeight w:val="340"/>
          <w:jc w:val="center"/>
        </w:trPr>
        <w:tc>
          <w:tcPr>
            <w:tcW w:w="10773" w:type="dxa"/>
            <w:gridSpan w:val="2"/>
            <w:tcBorders>
              <w:top w:val="nil"/>
              <w:bottom w:val="nil"/>
            </w:tcBorders>
            <w:shd w:val="clear" w:color="auto" w:fill="F0EBE1"/>
            <w:vAlign w:val="center"/>
          </w:tcPr>
          <w:p w:rsidR="003B7685" w:rsidRPr="00390282" w:rsidRDefault="003B7685" w:rsidP="00C50BB2">
            <w:pPr>
              <w:jc w:val="left"/>
              <w:rPr>
                <w:rFonts w:ascii="Arial" w:hAnsi="Arial" w:cs="Arial"/>
                <w:b/>
                <w:color w:val="524B48"/>
                <w:sz w:val="24"/>
                <w:szCs w:val="24"/>
              </w:rPr>
            </w:pPr>
            <w:r w:rsidRPr="009A6D3F">
              <w:rPr>
                <w:rFonts w:ascii="Arial" w:hAnsi="Arial" w:cs="Arial"/>
                <w:b/>
                <w:color w:val="524B48"/>
                <w:sz w:val="20"/>
              </w:rPr>
              <w:t>Key points covered:</w:t>
            </w:r>
          </w:p>
        </w:tc>
      </w:tr>
      <w:tr w:rsidR="003B7685" w:rsidRPr="00390282" w:rsidTr="00C50BB2">
        <w:trPr>
          <w:trHeight w:val="2196"/>
          <w:jc w:val="center"/>
        </w:trPr>
        <w:tc>
          <w:tcPr>
            <w:tcW w:w="9072" w:type="dxa"/>
            <w:tcBorders>
              <w:top w:val="nil"/>
              <w:bottom w:val="nil"/>
              <w:right w:val="nil"/>
            </w:tcBorders>
            <w:shd w:val="clear" w:color="auto" w:fill="FFFFFF"/>
            <w:vAlign w:val="center"/>
          </w:tcPr>
          <w:p w:rsidR="003B7685" w:rsidRPr="00EB660B" w:rsidRDefault="003B7685" w:rsidP="00C50BB2">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Judicial review procedure</w:t>
            </w:r>
          </w:p>
          <w:p w:rsidR="003B7685" w:rsidRPr="00EB660B" w:rsidRDefault="003B7685" w:rsidP="00C50BB2">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The leave stage</w:t>
            </w:r>
          </w:p>
          <w:p w:rsidR="003B7685" w:rsidRPr="00EB660B" w:rsidRDefault="003B7685" w:rsidP="00C50BB2">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The public/private divide</w:t>
            </w:r>
          </w:p>
          <w:p w:rsidR="003B7685" w:rsidRPr="00EB660B" w:rsidRDefault="003B7685" w:rsidP="00C50BB2">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Delay and standing requirements</w:t>
            </w:r>
          </w:p>
          <w:p w:rsidR="003B7685" w:rsidRPr="00EB660B" w:rsidRDefault="003B7685" w:rsidP="00C50BB2">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Ouster clauses</w:t>
            </w:r>
          </w:p>
          <w:p w:rsidR="003B7685" w:rsidRPr="00EB660B" w:rsidRDefault="003B7685" w:rsidP="00C50BB2">
            <w:pPr>
              <w:pStyle w:val="ListParagraph"/>
              <w:numPr>
                <w:ilvl w:val="0"/>
                <w:numId w:val="2"/>
              </w:numPr>
              <w:spacing w:line="276" w:lineRule="auto"/>
              <w:rPr>
                <w:rFonts w:ascii="Arial" w:hAnsi="Arial" w:cs="Arial"/>
                <w:color w:val="6C6361"/>
                <w:sz w:val="20"/>
              </w:rPr>
            </w:pPr>
            <w:r w:rsidRPr="00EB660B">
              <w:rPr>
                <w:rFonts w:ascii="Arial" w:hAnsi="Arial" w:cs="Arial"/>
                <w:color w:val="6C6361"/>
                <w:sz w:val="20"/>
              </w:rPr>
              <w:t>Main grounds of judicial review: improper purposes, unlawful delegation, fettering of discretion, breach of legitimate expectations and more</w:t>
            </w:r>
          </w:p>
          <w:p w:rsidR="003B7685" w:rsidRPr="009A6D3F" w:rsidRDefault="003B7685" w:rsidP="00C50BB2">
            <w:pPr>
              <w:pStyle w:val="ListParagraph"/>
              <w:numPr>
                <w:ilvl w:val="0"/>
                <w:numId w:val="2"/>
              </w:numPr>
              <w:rPr>
                <w:rFonts w:ascii="Arial" w:hAnsi="Arial" w:cs="Arial"/>
                <w:color w:val="6C6361"/>
                <w:sz w:val="20"/>
                <w:szCs w:val="24"/>
              </w:rPr>
            </w:pPr>
            <w:r w:rsidRPr="00EB660B">
              <w:rPr>
                <w:rFonts w:ascii="Arial" w:hAnsi="Arial" w:cs="Arial"/>
                <w:color w:val="6C6361"/>
                <w:sz w:val="20"/>
              </w:rPr>
              <w:t>Remedies</w:t>
            </w:r>
          </w:p>
        </w:tc>
        <w:tc>
          <w:tcPr>
            <w:tcW w:w="1701" w:type="dxa"/>
            <w:tcBorders>
              <w:top w:val="nil"/>
              <w:left w:val="nil"/>
              <w:bottom w:val="nil"/>
            </w:tcBorders>
            <w:shd w:val="clear" w:color="auto" w:fill="FFFFFF" w:themeFill="background1"/>
            <w:vAlign w:val="center"/>
          </w:tcPr>
          <w:p w:rsidR="003B7685" w:rsidRPr="00EB660B" w:rsidRDefault="003B7685" w:rsidP="00C50BB2">
            <w:pPr>
              <w:jc w:val="center"/>
              <w:rPr>
                <w:rFonts w:ascii="Arial" w:hAnsi="Arial" w:cs="Arial"/>
                <w:color w:val="6C6361"/>
                <w:szCs w:val="24"/>
              </w:rPr>
            </w:pPr>
          </w:p>
          <w:p w:rsidR="003B7685" w:rsidRPr="00EE3A30" w:rsidRDefault="003B7685" w:rsidP="00C50BB2">
            <w:pPr>
              <w:jc w:val="center"/>
              <w:rPr>
                <w:rFonts w:ascii="Arial" w:hAnsi="Arial" w:cs="Arial"/>
                <w:color w:val="6C6361"/>
                <w:sz w:val="24"/>
                <w:szCs w:val="24"/>
              </w:rPr>
            </w:pPr>
            <w:r w:rsidRPr="00A464CE">
              <w:rPr>
                <w:rFonts w:ascii="Arial" w:hAnsi="Arial" w:cs="Arial"/>
                <w:noProof/>
                <w:color w:val="6C6361"/>
                <w:sz w:val="24"/>
                <w:szCs w:val="24"/>
              </w:rPr>
              <w:drawing>
                <wp:inline distT="0" distB="0" distL="0" distR="0" wp14:anchorId="7B160B8A" wp14:editId="17C5943D">
                  <wp:extent cx="892800" cy="102240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4759FB" w:rsidRPr="007A74B2" w:rsidRDefault="004759FB" w:rsidP="005C693B">
      <w:pPr>
        <w:spacing w:line="276" w:lineRule="auto"/>
        <w:rPr>
          <w:rFonts w:ascii="Arial" w:hAnsi="Arial" w:cs="Arial"/>
          <w:sz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3B7685" w:rsidRPr="005A2F25" w:rsidTr="007A74B2">
        <w:trPr>
          <w:trHeight w:val="340"/>
          <w:jc w:val="center"/>
        </w:trPr>
        <w:tc>
          <w:tcPr>
            <w:tcW w:w="1695" w:type="dxa"/>
            <w:tcBorders>
              <w:top w:val="nil"/>
              <w:left w:val="nil"/>
              <w:bottom w:val="single" w:sz="12" w:space="0" w:color="FFFFFF"/>
            </w:tcBorders>
            <w:shd w:val="clear" w:color="auto" w:fill="F0EBE1"/>
            <w:vAlign w:val="center"/>
          </w:tcPr>
          <w:p w:rsidR="003B7685" w:rsidRPr="002343EF" w:rsidRDefault="003B7685" w:rsidP="003B7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3B7685" w:rsidRPr="002343EF" w:rsidRDefault="003B7685" w:rsidP="003B7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EVT000000296</w:t>
            </w:r>
          </w:p>
        </w:tc>
        <w:tc>
          <w:tcPr>
            <w:tcW w:w="1700" w:type="dxa"/>
            <w:tcBorders>
              <w:top w:val="nil"/>
              <w:bottom w:val="single" w:sz="12" w:space="0" w:color="FFFFFF"/>
            </w:tcBorders>
            <w:shd w:val="clear" w:color="auto" w:fill="F0EBE1"/>
            <w:vAlign w:val="center"/>
          </w:tcPr>
          <w:p w:rsidR="003B7685" w:rsidRPr="002343EF" w:rsidRDefault="003B7685" w:rsidP="003B7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3B7685" w:rsidRPr="002343EF" w:rsidRDefault="003B7685" w:rsidP="003B7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3B7685" w:rsidRPr="005A2F25"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rsidR="003B7685" w:rsidRPr="002343EF" w:rsidRDefault="003B7685" w:rsidP="003B7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3B7685" w:rsidRPr="006B70C1" w:rsidRDefault="003B7685" w:rsidP="003B7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23 October 2019 (Wednesday)</w:t>
            </w:r>
          </w:p>
        </w:tc>
        <w:tc>
          <w:tcPr>
            <w:tcW w:w="1700" w:type="dxa"/>
            <w:tcBorders>
              <w:top w:val="single" w:sz="12" w:space="0" w:color="FFFFFF"/>
              <w:bottom w:val="single" w:sz="12" w:space="0" w:color="FFFFFF"/>
            </w:tcBorders>
            <w:shd w:val="clear" w:color="auto" w:fill="F0EBE1"/>
            <w:vAlign w:val="center"/>
          </w:tcPr>
          <w:p w:rsidR="003B7685" w:rsidRPr="002343EF" w:rsidRDefault="003B7685" w:rsidP="003B7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3B7685" w:rsidRPr="002343EF" w:rsidRDefault="003B7685" w:rsidP="003B7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4759FB" w:rsidRPr="005A2F25"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rsidR="004759FB" w:rsidRPr="002343EF"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4759FB"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4759FB" w:rsidRPr="00EC7ADB"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4759FB" w:rsidRPr="002343EF"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4759FB" w:rsidRPr="006B70C1" w:rsidRDefault="004759FB" w:rsidP="0047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2F4919" w:rsidRPr="005A2F25" w:rsidTr="007A74B2">
        <w:trPr>
          <w:trHeight w:val="1134"/>
          <w:jc w:val="center"/>
        </w:trPr>
        <w:tc>
          <w:tcPr>
            <w:tcW w:w="1695" w:type="dxa"/>
            <w:tcBorders>
              <w:top w:val="single" w:sz="12" w:space="0" w:color="FFFFFF"/>
              <w:left w:val="nil"/>
              <w:bottom w:val="nil"/>
            </w:tcBorders>
            <w:shd w:val="clear" w:color="auto" w:fill="F0EBE1"/>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2F4919" w:rsidRPr="00482956" w:rsidRDefault="002F4919" w:rsidP="002F491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2F4919" w:rsidRPr="00334CAE" w:rsidRDefault="002F4919" w:rsidP="002F4919">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5F251754" wp14:editId="2CFCDCBE">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2F4919" w:rsidRPr="00334CAE" w:rsidRDefault="002F4919" w:rsidP="002F4919">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2F4919" w:rsidRPr="00156567"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BAD2130" wp14:editId="3BDF292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7A74B2" w:rsidRDefault="00214BC6" w:rsidP="005C693B">
      <w:pPr>
        <w:rPr>
          <w:sz w:val="2"/>
          <w:szCs w:val="2"/>
        </w:rPr>
      </w:pPr>
    </w:p>
    <w:sectPr w:rsidR="00214BC6" w:rsidRPr="007A74B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407" w:rsidRDefault="00D42407" w:rsidP="00546556">
      <w:r>
        <w:separator/>
      </w:r>
    </w:p>
  </w:endnote>
  <w:endnote w:type="continuationSeparator" w:id="0">
    <w:p w:rsidR="00D42407" w:rsidRDefault="00D42407"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407" w:rsidRDefault="00D42407" w:rsidP="00546556">
      <w:r>
        <w:separator/>
      </w:r>
    </w:p>
  </w:footnote>
  <w:footnote w:type="continuationSeparator" w:id="0">
    <w:p w:rsidR="00D42407" w:rsidRDefault="00D42407"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FHKjQkFznShiTGGnEqtiewMgn6IdHtObqzJOQPfcRy8+GXdodKk9a0cFGd87hrDSScOuFcT7+lW4bMMg09Peig==" w:salt="fcaal/HlldxCuK0iV8XwO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B7685"/>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59FB"/>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4B9"/>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4BF0"/>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53CA"/>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40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9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3CE93-389D-4D79-B54D-AF8E200A5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411</Words>
  <Characters>2344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Judicial Review in a Nutshell</vt:lpstr>
    </vt:vector>
  </TitlesOfParts>
  <Manager>Tyrone Tsang</Manager>
  <Company>The Profectional Company Limited</Company>
  <LinksUpToDate>false</LinksUpToDate>
  <CharactersWithSpaces>2750</CharactersWithSpaces>
  <SharedDoc>false</SharedDoc>
  <HyperlinkBase>http://download.profectional.com/events/EVT000000296.docx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Judicial Review in a Nutshell</dc:title>
  <dc:subject>CPD Course: Judicial Review in a Nutshell</dc:subject>
  <dc:creator>The Profectional Company Limited</dc:creator>
  <cp:keywords>Profectional; Kornerstone; CPD; CPT; CLE; CE; RME; Stephen Thomson; Associate Professor; School of Law; City University of Hong Kong</cp:keywords>
  <cp:lastModifiedBy>Tyrone Tsang</cp:lastModifiedBy>
  <cp:revision>57</cp:revision>
  <cp:lastPrinted>2018-10-23T15:50:00Z</cp:lastPrinted>
  <dcterms:created xsi:type="dcterms:W3CDTF">2015-08-21T08:33:00Z</dcterms:created>
  <dcterms:modified xsi:type="dcterms:W3CDTF">2019-10-22T02:39:00Z</dcterms:modified>
</cp:coreProperties>
</file>