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593" w:rsidRPr="00627593" w:rsidRDefault="00627593" w:rsidP="0062759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27593" w:rsidRPr="00523A64" w:rsidTr="00696161">
        <w:trPr>
          <w:trHeight w:val="3119"/>
          <w:jc w:val="center"/>
        </w:trPr>
        <w:tc>
          <w:tcPr>
            <w:tcW w:w="4820" w:type="dxa"/>
            <w:shd w:val="clear" w:color="auto" w:fill="FFFFFF"/>
            <w:vAlign w:val="center"/>
          </w:tcPr>
          <w:p w:rsidR="00627593" w:rsidRPr="008259A9" w:rsidRDefault="00627593" w:rsidP="00696161">
            <w:pPr>
              <w:jc w:val="center"/>
              <w:rPr>
                <w:rFonts w:ascii="Arial" w:hAnsi="Arial" w:cs="Arial"/>
                <w:b/>
                <w:bCs/>
                <w:color w:val="524B48"/>
                <w:sz w:val="4"/>
                <w:szCs w:val="4"/>
              </w:rPr>
            </w:pPr>
          </w:p>
          <w:p w:rsidR="00627593" w:rsidRDefault="00627593" w:rsidP="00696161">
            <w:pPr>
              <w:jc w:val="center"/>
              <w:rPr>
                <w:rStyle w:val="Hyperlink"/>
                <w:rFonts w:ascii="Arial" w:hAnsi="Arial" w:cs="Arial"/>
                <w:b/>
                <w:bCs/>
                <w:color w:val="524B48"/>
                <w:sz w:val="32"/>
                <w:szCs w:val="32"/>
                <w:u w:val="none"/>
              </w:rPr>
            </w:pPr>
            <w:r>
              <w:fldChar w:fldCharType="begin"/>
            </w:r>
            <w:r>
              <w:instrText>HYPERLINK "http://cpd.hk/evt000000307/"</w:instrText>
            </w:r>
            <w:r>
              <w:fldChar w:fldCharType="separate"/>
            </w:r>
            <w:r>
              <w:rPr>
                <w:rStyle w:val="Hyperlink"/>
                <w:rFonts w:ascii="Arial" w:hAnsi="Arial" w:cs="Arial"/>
                <w:b/>
                <w:bCs/>
                <w:color w:val="524B48"/>
                <w:sz w:val="32"/>
                <w:szCs w:val="32"/>
                <w:u w:val="none"/>
              </w:rPr>
              <w:t>Email Fraud:</w:t>
            </w:r>
          </w:p>
          <w:p w:rsidR="00627593" w:rsidRPr="00032DE4" w:rsidRDefault="00627593" w:rsidP="00696161">
            <w:pPr>
              <w:jc w:val="center"/>
              <w:rPr>
                <w:rFonts w:ascii="Arial" w:hAnsi="Arial" w:cs="Arial"/>
                <w:b/>
                <w:bCs/>
                <w:color w:val="524B48"/>
                <w:sz w:val="32"/>
                <w:szCs w:val="32"/>
              </w:rPr>
            </w:pPr>
            <w:r w:rsidRPr="009E2A86">
              <w:rPr>
                <w:rStyle w:val="Hyperlink"/>
                <w:rFonts w:ascii="Arial" w:hAnsi="Arial" w:cs="Arial"/>
                <w:b/>
                <w:bCs/>
                <w:color w:val="524B48"/>
                <w:sz w:val="32"/>
                <w:szCs w:val="32"/>
                <w:u w:val="none"/>
              </w:rPr>
              <w:t>How to Claim Money Back?</w:t>
            </w:r>
            <w:r>
              <w:rPr>
                <w:rStyle w:val="Hyperlink"/>
                <w:rFonts w:ascii="Arial" w:hAnsi="Arial" w:cs="Arial"/>
                <w:b/>
                <w:bCs/>
                <w:color w:val="524B48"/>
                <w:sz w:val="32"/>
                <w:szCs w:val="32"/>
                <w:u w:val="none"/>
              </w:rPr>
              <w:fldChar w:fldCharType="end"/>
            </w:r>
          </w:p>
          <w:p w:rsidR="00627593" w:rsidRPr="00731F7F" w:rsidRDefault="00627593" w:rsidP="00696161">
            <w:pPr>
              <w:jc w:val="center"/>
              <w:rPr>
                <w:rFonts w:ascii="Arial" w:hAnsi="Arial" w:cs="Arial"/>
                <w:b/>
                <w:bCs/>
                <w:sz w:val="24"/>
                <w:szCs w:val="28"/>
              </w:rPr>
            </w:pPr>
          </w:p>
          <w:p w:rsidR="00627593" w:rsidRPr="009D67FA" w:rsidRDefault="00627593" w:rsidP="00696161">
            <w:pPr>
              <w:jc w:val="center"/>
              <w:rPr>
                <w:rFonts w:ascii="Arial" w:hAnsi="Arial" w:cs="Arial"/>
                <w:i/>
                <w:color w:val="6C6361"/>
                <w:sz w:val="24"/>
                <w:szCs w:val="24"/>
              </w:rPr>
            </w:pPr>
            <w:r w:rsidRPr="009D67FA">
              <w:rPr>
                <w:rFonts w:ascii="Arial" w:hAnsi="Arial" w:cs="Arial"/>
                <w:i/>
                <w:color w:val="6C6361"/>
                <w:sz w:val="24"/>
                <w:szCs w:val="24"/>
              </w:rPr>
              <w:t>by</w:t>
            </w:r>
          </w:p>
          <w:p w:rsidR="00627593" w:rsidRDefault="00627593" w:rsidP="00696161">
            <w:pPr>
              <w:spacing w:line="276" w:lineRule="auto"/>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Dicky</w:t>
              </w:r>
              <w:proofErr w:type="spellEnd"/>
              <w:r>
                <w:rPr>
                  <w:rStyle w:val="Hyperlink"/>
                  <w:rFonts w:ascii="Arial" w:hAnsi="Arial" w:cs="Arial"/>
                  <w:color w:val="6C6361"/>
                  <w:sz w:val="24"/>
                  <w:szCs w:val="24"/>
                  <w:u w:val="none"/>
                </w:rPr>
                <w:t xml:space="preserve"> Cheung</w:t>
              </w:r>
            </w:hyperlink>
            <w:r>
              <w:rPr>
                <w:rFonts w:ascii="Arial" w:hAnsi="Arial" w:cs="Arial"/>
                <w:color w:val="6C6361"/>
                <w:sz w:val="24"/>
                <w:szCs w:val="24"/>
              </w:rPr>
              <w:t>,</w:t>
            </w:r>
          </w:p>
          <w:p w:rsidR="00627593" w:rsidRDefault="00627593" w:rsidP="00696161">
            <w:pPr>
              <w:jc w:val="center"/>
              <w:rPr>
                <w:rFonts w:ascii="Arial" w:hAnsi="Arial" w:cs="Arial"/>
                <w:color w:val="6C6361"/>
                <w:sz w:val="24"/>
                <w:szCs w:val="24"/>
              </w:rPr>
            </w:pPr>
            <w:r>
              <w:rPr>
                <w:rFonts w:ascii="Arial" w:hAnsi="Arial" w:cs="Arial"/>
                <w:color w:val="6C6361"/>
                <w:sz w:val="24"/>
                <w:szCs w:val="24"/>
              </w:rPr>
              <w:t>Barrister, Garden Chambers</w:t>
            </w:r>
          </w:p>
          <w:p w:rsidR="00627593" w:rsidRPr="00CD13F5" w:rsidRDefault="00627593" w:rsidP="00696161">
            <w:pPr>
              <w:rPr>
                <w:rFonts w:ascii="Arial" w:hAnsi="Arial" w:cs="Arial"/>
                <w:color w:val="6C6361"/>
                <w:sz w:val="4"/>
                <w:szCs w:val="4"/>
              </w:rPr>
            </w:pPr>
          </w:p>
        </w:tc>
        <w:tc>
          <w:tcPr>
            <w:tcW w:w="5954" w:type="dxa"/>
            <w:shd w:val="clear" w:color="auto" w:fill="FFFFFF"/>
            <w:vAlign w:val="center"/>
          </w:tcPr>
          <w:p w:rsidR="00627593" w:rsidRPr="00D50772" w:rsidRDefault="00627593" w:rsidP="00696161">
            <w:pPr>
              <w:spacing w:line="276" w:lineRule="auto"/>
              <w:rPr>
                <w:rFonts w:ascii="Arial" w:eastAsia="Times New Roman" w:hAnsi="Arial" w:cs="Arial"/>
                <w:noProof/>
                <w:sz w:val="20"/>
                <w:szCs w:val="20"/>
              </w:rPr>
            </w:pPr>
            <w:r w:rsidRPr="00051382">
              <w:rPr>
                <w:rFonts w:ascii="Arial" w:eastAsia="Times New Roman" w:hAnsi="Arial" w:cs="Arial"/>
                <w:noProof/>
                <w:sz w:val="20"/>
                <w:szCs w:val="20"/>
              </w:rPr>
              <w:drawing>
                <wp:anchor distT="0" distB="0" distL="114300" distR="114300" simplePos="0" relativeHeight="251659264" behindDoc="0" locked="0" layoutInCell="1" allowOverlap="1" wp14:anchorId="38B4FAC8" wp14:editId="1205980F">
                  <wp:simplePos x="0" y="0"/>
                  <wp:positionH relativeFrom="column">
                    <wp:posOffset>3168015</wp:posOffset>
                  </wp:positionH>
                  <wp:positionV relativeFrom="paragraph">
                    <wp:posOffset>-48895</wp:posOffset>
                  </wp:positionV>
                  <wp:extent cx="53594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BA74346" wp14:editId="5ACCCDBD">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27593" w:rsidRPr="006028EC" w:rsidRDefault="00627593" w:rsidP="00627593">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627593" w:rsidRPr="006028EC" w:rsidTr="00696161">
        <w:trPr>
          <w:trHeight w:val="2495"/>
          <w:jc w:val="center"/>
        </w:trPr>
        <w:tc>
          <w:tcPr>
            <w:tcW w:w="1985" w:type="dxa"/>
            <w:shd w:val="clear" w:color="auto" w:fill="FFFFFF"/>
            <w:vAlign w:val="center"/>
          </w:tcPr>
          <w:p w:rsidR="00627593" w:rsidRPr="006028EC" w:rsidRDefault="00627593" w:rsidP="00696161">
            <w:pPr>
              <w:spacing w:line="276" w:lineRule="auto"/>
              <w:jc w:val="center"/>
              <w:rPr>
                <w:rFonts w:ascii="Arial" w:hAnsi="Arial" w:cs="Arial"/>
                <w:sz w:val="20"/>
                <w:szCs w:val="19"/>
              </w:rPr>
            </w:pPr>
            <w:r w:rsidRPr="006028EC">
              <w:rPr>
                <w:rFonts w:ascii="Arial" w:hAnsi="Arial" w:cs="Arial"/>
                <w:noProof/>
                <w:sz w:val="20"/>
                <w:szCs w:val="19"/>
              </w:rPr>
              <w:drawing>
                <wp:inline distT="0" distB="0" distL="0" distR="0" wp14:anchorId="7DFDA87E" wp14:editId="0735EC01">
                  <wp:extent cx="1078704"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627593" w:rsidRPr="006028EC" w:rsidRDefault="00627593" w:rsidP="00696161">
            <w:pPr>
              <w:rPr>
                <w:rFonts w:ascii="Arial" w:hAnsi="Arial" w:cs="Arial"/>
                <w:color w:val="6C6361"/>
                <w:sz w:val="20"/>
                <w:szCs w:val="19"/>
              </w:rPr>
            </w:pPr>
            <w:r w:rsidRPr="006028EC">
              <w:rPr>
                <w:rFonts w:ascii="Arial" w:hAnsi="Arial" w:cs="Arial"/>
                <w:color w:val="6C6361"/>
                <w:sz w:val="20"/>
                <w:szCs w:val="19"/>
              </w:rPr>
              <w:t xml:space="preserve">Mr. </w:t>
            </w:r>
            <w:proofErr w:type="spellStart"/>
            <w:r w:rsidRPr="006028EC">
              <w:rPr>
                <w:rFonts w:ascii="Arial" w:hAnsi="Arial" w:cs="Arial"/>
                <w:color w:val="6C6361"/>
                <w:sz w:val="20"/>
                <w:szCs w:val="19"/>
              </w:rPr>
              <w:t>Dicky</w:t>
            </w:r>
            <w:proofErr w:type="spellEnd"/>
            <w:r w:rsidRPr="006028EC">
              <w:rPr>
                <w:rFonts w:ascii="Arial" w:hAnsi="Arial" w:cs="Arial"/>
                <w:color w:val="6C6361"/>
                <w:sz w:val="20"/>
                <w:szCs w:val="19"/>
              </w:rPr>
              <w:t xml:space="preserve"> Cheung read law at the University of Hong Kong and was called to the bar in 2017.  He joined Garden Chambers in the following year.</w:t>
            </w:r>
          </w:p>
          <w:p w:rsidR="00627593" w:rsidRPr="006028EC" w:rsidRDefault="00627593" w:rsidP="00696161">
            <w:pPr>
              <w:rPr>
                <w:rFonts w:ascii="Arial" w:hAnsi="Arial" w:cs="Arial"/>
                <w:color w:val="6C6361"/>
                <w:sz w:val="6"/>
                <w:szCs w:val="10"/>
              </w:rPr>
            </w:pPr>
          </w:p>
          <w:p w:rsidR="00627593" w:rsidRPr="006028EC" w:rsidRDefault="00627593" w:rsidP="00696161">
            <w:pPr>
              <w:rPr>
                <w:rFonts w:ascii="Arial" w:hAnsi="Arial" w:cs="Arial"/>
                <w:color w:val="6C6361"/>
                <w:sz w:val="20"/>
                <w:szCs w:val="19"/>
              </w:rPr>
            </w:pPr>
            <w:r w:rsidRPr="006028EC">
              <w:rPr>
                <w:rFonts w:ascii="Arial" w:hAnsi="Arial" w:cs="Arial"/>
                <w:color w:val="6C6361"/>
                <w:sz w:val="20"/>
                <w:szCs w:val="19"/>
              </w:rPr>
              <w:t>His practice is focused on commercial, company and contractual litigation.  He has represented listed companies, state-owned banks (overseas and PRC), and high net worth individuals in handling complex commercial, corporate and civil litigation with securities, trusts and probate at issues, involving overseas parties and complicated transactions.</w:t>
            </w:r>
          </w:p>
          <w:p w:rsidR="00627593" w:rsidRPr="006028EC" w:rsidRDefault="00627593" w:rsidP="00696161">
            <w:pPr>
              <w:rPr>
                <w:rFonts w:ascii="Arial" w:hAnsi="Arial" w:cs="Arial"/>
                <w:color w:val="6C6361"/>
                <w:sz w:val="6"/>
                <w:szCs w:val="10"/>
              </w:rPr>
            </w:pPr>
          </w:p>
          <w:p w:rsidR="00627593" w:rsidRPr="006028EC" w:rsidRDefault="00627593" w:rsidP="00696161">
            <w:pPr>
              <w:rPr>
                <w:rFonts w:ascii="Arial" w:hAnsi="Arial" w:cs="Arial"/>
                <w:color w:val="6C6361"/>
                <w:sz w:val="20"/>
                <w:szCs w:val="19"/>
              </w:rPr>
            </w:pPr>
            <w:proofErr w:type="spellStart"/>
            <w:r w:rsidRPr="006028EC">
              <w:rPr>
                <w:rFonts w:ascii="Arial" w:hAnsi="Arial" w:cs="Arial"/>
                <w:color w:val="6C6361"/>
                <w:sz w:val="20"/>
                <w:szCs w:val="19"/>
              </w:rPr>
              <w:t>Dicky</w:t>
            </w:r>
            <w:proofErr w:type="spellEnd"/>
            <w:r w:rsidRPr="006028EC">
              <w:rPr>
                <w:rFonts w:ascii="Arial" w:hAnsi="Arial" w:cs="Arial"/>
                <w:color w:val="6C6361"/>
                <w:sz w:val="20"/>
                <w:szCs w:val="19"/>
              </w:rPr>
              <w:t xml:space="preserve"> also frequently represents professionals, including insurance agents, estate agents, optometrists etc., in disciplinary proceedings, and their appeal and judicial review proceedings.</w:t>
            </w:r>
          </w:p>
          <w:p w:rsidR="00627593" w:rsidRPr="006028EC" w:rsidRDefault="00627593" w:rsidP="00696161">
            <w:pPr>
              <w:rPr>
                <w:rFonts w:ascii="Arial" w:hAnsi="Arial" w:cs="Arial"/>
                <w:color w:val="6C6361"/>
                <w:sz w:val="6"/>
                <w:szCs w:val="10"/>
              </w:rPr>
            </w:pPr>
          </w:p>
          <w:p w:rsidR="00627593" w:rsidRPr="006028EC" w:rsidRDefault="00627593" w:rsidP="00696161">
            <w:pPr>
              <w:rPr>
                <w:rFonts w:ascii="Arial" w:hAnsi="Arial" w:cs="Arial"/>
                <w:color w:val="6C6361"/>
                <w:sz w:val="20"/>
                <w:szCs w:val="19"/>
              </w:rPr>
            </w:pPr>
            <w:proofErr w:type="spellStart"/>
            <w:r w:rsidRPr="006028EC">
              <w:rPr>
                <w:rFonts w:ascii="Arial" w:hAnsi="Arial" w:cs="Arial"/>
                <w:color w:val="6C6361"/>
                <w:sz w:val="20"/>
                <w:szCs w:val="19"/>
              </w:rPr>
              <w:t>Dicky</w:t>
            </w:r>
            <w:proofErr w:type="spellEnd"/>
            <w:r w:rsidRPr="006028EC">
              <w:rPr>
                <w:rFonts w:ascii="Arial" w:hAnsi="Arial" w:cs="Arial"/>
                <w:color w:val="6C6361"/>
                <w:sz w:val="20"/>
                <w:szCs w:val="19"/>
              </w:rPr>
              <w:t xml:space="preserve"> is fluent in Putonghua and regularly handles PRC-related cases and parties.</w:t>
            </w:r>
          </w:p>
        </w:tc>
      </w:tr>
    </w:tbl>
    <w:p w:rsidR="00627593" w:rsidRPr="006028EC" w:rsidRDefault="00627593" w:rsidP="00627593">
      <w:pPr>
        <w:spacing w:line="276" w:lineRule="auto"/>
        <w:jc w:val="left"/>
        <w:rPr>
          <w:rFonts w:ascii="Arial" w:hAnsi="Arial" w:cs="Arial"/>
          <w:sz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627593" w:rsidRPr="006028EC" w:rsidTr="00696161">
        <w:trPr>
          <w:trHeight w:val="1588"/>
          <w:jc w:val="center"/>
        </w:trPr>
        <w:tc>
          <w:tcPr>
            <w:tcW w:w="10773" w:type="dxa"/>
            <w:tcBorders>
              <w:top w:val="nil"/>
              <w:bottom w:val="nil"/>
            </w:tcBorders>
            <w:shd w:val="clear" w:color="auto" w:fill="FFFFFF" w:themeFill="background1"/>
            <w:vAlign w:val="center"/>
          </w:tcPr>
          <w:p w:rsidR="00627593" w:rsidRPr="006028EC" w:rsidRDefault="00627593" w:rsidP="00696161">
            <w:pPr>
              <w:spacing w:line="276" w:lineRule="auto"/>
              <w:rPr>
                <w:rFonts w:ascii="Arial" w:hAnsi="Arial" w:cs="Arial"/>
                <w:color w:val="6C6361"/>
                <w:sz w:val="18"/>
                <w:szCs w:val="19"/>
              </w:rPr>
            </w:pPr>
            <w:r w:rsidRPr="006028EC">
              <w:rPr>
                <w:rFonts w:ascii="Arial" w:hAnsi="Arial" w:cs="Arial"/>
                <w:color w:val="6C6361"/>
                <w:sz w:val="18"/>
                <w:szCs w:val="19"/>
              </w:rPr>
              <w:t>Email fraud is commonplace in Hong Kong as an active international commercial city.  For the unfortunate victim, it is a race with time to get the money back before it is further dissipated.  The victim also faces extreme evidential difficulty in terms of tracing.  What should the victim do in the civil court to obtain the justice he deserves and promptly?</w:t>
            </w:r>
          </w:p>
          <w:p w:rsidR="00627593" w:rsidRPr="006028EC" w:rsidRDefault="00627593" w:rsidP="00696161">
            <w:pPr>
              <w:spacing w:line="276" w:lineRule="auto"/>
              <w:rPr>
                <w:rFonts w:ascii="Arial" w:hAnsi="Arial" w:cs="Arial"/>
                <w:color w:val="6C6361"/>
                <w:sz w:val="4"/>
                <w:szCs w:val="10"/>
              </w:rPr>
            </w:pPr>
          </w:p>
          <w:p w:rsidR="00627593" w:rsidRPr="006028EC" w:rsidRDefault="00627593" w:rsidP="00696161">
            <w:pPr>
              <w:spacing w:line="276" w:lineRule="auto"/>
              <w:rPr>
                <w:rFonts w:ascii="Arial" w:hAnsi="Arial" w:cs="Arial"/>
                <w:color w:val="6C6361"/>
                <w:sz w:val="18"/>
                <w:szCs w:val="19"/>
              </w:rPr>
            </w:pPr>
            <w:r w:rsidRPr="006028EC">
              <w:rPr>
                <w:rFonts w:ascii="Arial" w:hAnsi="Arial" w:cs="Arial"/>
                <w:color w:val="6C6361"/>
                <w:sz w:val="18"/>
                <w:szCs w:val="19"/>
              </w:rPr>
              <w:t xml:space="preserve">The </w:t>
            </w:r>
            <w:r>
              <w:rPr>
                <w:rFonts w:ascii="Arial" w:hAnsi="Arial" w:cs="Arial"/>
                <w:color w:val="6C6361"/>
                <w:sz w:val="18"/>
                <w:szCs w:val="19"/>
              </w:rPr>
              <w:t>s</w:t>
            </w:r>
            <w:r w:rsidRPr="006028EC">
              <w:rPr>
                <w:rFonts w:ascii="Arial" w:hAnsi="Arial" w:cs="Arial"/>
                <w:color w:val="6C6361"/>
                <w:sz w:val="18"/>
                <w:szCs w:val="19"/>
              </w:rPr>
              <w:t>peaker has represented both victims and alleged fraudsters in email, telephone, and general fraud cases with amounts ranging from about HK$100,000 to HK$620,000,000.  He will share his experience and practical tips in handling these cases, including drafting techniques.</w:t>
            </w:r>
          </w:p>
        </w:tc>
      </w:tr>
      <w:tr w:rsidR="00627593" w:rsidRPr="006028EC" w:rsidTr="00696161">
        <w:trPr>
          <w:trHeight w:val="284"/>
          <w:jc w:val="center"/>
        </w:trPr>
        <w:tc>
          <w:tcPr>
            <w:tcW w:w="10773" w:type="dxa"/>
            <w:tcBorders>
              <w:top w:val="nil"/>
              <w:bottom w:val="nil"/>
            </w:tcBorders>
            <w:shd w:val="clear" w:color="auto" w:fill="F0EBE1"/>
            <w:vAlign w:val="center"/>
          </w:tcPr>
          <w:p w:rsidR="00627593" w:rsidRPr="006028EC" w:rsidRDefault="00627593" w:rsidP="00696161">
            <w:pPr>
              <w:jc w:val="left"/>
              <w:rPr>
                <w:rFonts w:ascii="Arial" w:hAnsi="Arial" w:cs="Arial"/>
                <w:b/>
                <w:color w:val="524B48"/>
                <w:sz w:val="18"/>
                <w:szCs w:val="19"/>
              </w:rPr>
            </w:pPr>
            <w:r w:rsidRPr="006028EC">
              <w:rPr>
                <w:rFonts w:ascii="Arial" w:hAnsi="Arial" w:cs="Arial"/>
                <w:b/>
                <w:color w:val="524B48"/>
                <w:sz w:val="18"/>
                <w:szCs w:val="19"/>
              </w:rPr>
              <w:t>The course answers this question with the following issues:</w:t>
            </w:r>
          </w:p>
        </w:tc>
      </w:tr>
      <w:tr w:rsidR="00627593" w:rsidRPr="006028EC" w:rsidTr="00696161">
        <w:trPr>
          <w:trHeight w:val="3497"/>
          <w:jc w:val="center"/>
        </w:trPr>
        <w:tc>
          <w:tcPr>
            <w:tcW w:w="10773" w:type="dxa"/>
            <w:tcBorders>
              <w:top w:val="nil"/>
              <w:bottom w:val="nil"/>
            </w:tcBorders>
            <w:shd w:val="clear" w:color="auto" w:fill="FFFFFF"/>
            <w:vAlign w:val="center"/>
          </w:tcPr>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color w:val="6C6361"/>
                <w:sz w:val="18"/>
                <w:szCs w:val="19"/>
              </w:rPr>
              <w:t>What are the pre-action steps to obtain sufficient evidence?</w:t>
            </w:r>
          </w:p>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color w:val="6C6361"/>
                <w:sz w:val="18"/>
                <w:szCs w:val="19"/>
              </w:rPr>
              <w:t xml:space="preserve">What does "freezing" of a bank account by police actually mean (the "no-consent" regime under the Organized and Serious Crimes Ordinance)? In comparison with </w:t>
            </w:r>
            <w:proofErr w:type="spellStart"/>
            <w:r w:rsidRPr="006028EC">
              <w:rPr>
                <w:rFonts w:ascii="Arial" w:hAnsi="Arial" w:cs="Arial"/>
                <w:color w:val="6C6361"/>
                <w:sz w:val="18"/>
                <w:szCs w:val="19"/>
              </w:rPr>
              <w:t>Mareva</w:t>
            </w:r>
            <w:proofErr w:type="spellEnd"/>
            <w:r w:rsidRPr="006028EC">
              <w:rPr>
                <w:rFonts w:ascii="Arial" w:hAnsi="Arial" w:cs="Arial"/>
                <w:color w:val="6C6361"/>
                <w:sz w:val="18"/>
                <w:szCs w:val="19"/>
              </w:rPr>
              <w:t xml:space="preserve"> injunction, how should a lawyer advise?</w:t>
            </w:r>
          </w:p>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color w:val="6C6361"/>
                <w:sz w:val="18"/>
                <w:szCs w:val="19"/>
              </w:rPr>
              <w:t>What are the causes of action, including the theoretical foundation on unjust enrichment, money had and received, constructive trust etc.?</w:t>
            </w:r>
          </w:p>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color w:val="6C6361"/>
                <w:sz w:val="18"/>
                <w:szCs w:val="19"/>
              </w:rPr>
              <w:t>What is tracing? Is there "backward tracing"?</w:t>
            </w:r>
          </w:p>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noProof/>
                <w:color w:val="6C6361"/>
                <w:sz w:val="18"/>
                <w:szCs w:val="19"/>
              </w:rPr>
              <w:drawing>
                <wp:anchor distT="0" distB="0" distL="114300" distR="114300" simplePos="0" relativeHeight="251660288" behindDoc="0" locked="0" layoutInCell="1" allowOverlap="1" wp14:anchorId="3AAB8A27" wp14:editId="61DFBEF3">
                  <wp:simplePos x="0" y="0"/>
                  <wp:positionH relativeFrom="column">
                    <wp:posOffset>5770880</wp:posOffset>
                  </wp:positionH>
                  <wp:positionV relativeFrom="paragraph">
                    <wp:posOffset>123190</wp:posOffset>
                  </wp:positionV>
                  <wp:extent cx="892175" cy="1022350"/>
                  <wp:effectExtent l="0" t="0" r="317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8EC">
              <w:rPr>
                <w:rFonts w:ascii="Arial" w:hAnsi="Arial" w:cs="Arial"/>
                <w:color w:val="6C6361"/>
                <w:sz w:val="18"/>
                <w:szCs w:val="19"/>
              </w:rPr>
              <w:t>What are the reliefs, including a declaratory relief, and compound interest?</w:t>
            </w:r>
          </w:p>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color w:val="6C6361"/>
                <w:sz w:val="18"/>
                <w:szCs w:val="19"/>
              </w:rPr>
              <w:t>What are the mechanisms for enforcement of a judgment, including a vesting order and Garnishee order?</w:t>
            </w:r>
          </w:p>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color w:val="6C6361"/>
                <w:sz w:val="18"/>
                <w:szCs w:val="19"/>
              </w:rPr>
              <w:t>How does a lawyer deal with the bank and the police in all the above steps?</w:t>
            </w:r>
          </w:p>
          <w:p w:rsidR="00627593" w:rsidRPr="006028EC" w:rsidRDefault="00627593" w:rsidP="00696161">
            <w:pPr>
              <w:pStyle w:val="ListParagraph"/>
              <w:numPr>
                <w:ilvl w:val="0"/>
                <w:numId w:val="2"/>
              </w:numPr>
              <w:spacing w:line="276" w:lineRule="auto"/>
              <w:rPr>
                <w:rFonts w:ascii="Arial" w:hAnsi="Arial" w:cs="Arial"/>
                <w:color w:val="6C6361"/>
                <w:sz w:val="18"/>
                <w:szCs w:val="19"/>
              </w:rPr>
            </w:pPr>
            <w:r w:rsidRPr="006028EC">
              <w:rPr>
                <w:rFonts w:ascii="Arial" w:hAnsi="Arial" w:cs="Arial"/>
                <w:color w:val="6C6361"/>
                <w:sz w:val="18"/>
                <w:szCs w:val="19"/>
              </w:rPr>
              <w:t>On the flipside, what if a lawyer represents an alleged fraudster?</w:t>
            </w:r>
          </w:p>
          <w:p w:rsidR="00627593" w:rsidRPr="006028EC" w:rsidRDefault="00627593" w:rsidP="00696161">
            <w:pPr>
              <w:pStyle w:val="ListParagraph"/>
              <w:numPr>
                <w:ilvl w:val="1"/>
                <w:numId w:val="2"/>
              </w:numPr>
              <w:spacing w:line="276" w:lineRule="auto"/>
              <w:rPr>
                <w:rFonts w:ascii="Arial" w:hAnsi="Arial" w:cs="Arial"/>
                <w:color w:val="6C6361"/>
                <w:sz w:val="18"/>
                <w:szCs w:val="19"/>
              </w:rPr>
            </w:pPr>
            <w:r w:rsidRPr="006028EC">
              <w:rPr>
                <w:rFonts w:ascii="Arial" w:hAnsi="Arial" w:cs="Arial"/>
                <w:color w:val="6C6361"/>
                <w:sz w:val="18"/>
                <w:szCs w:val="19"/>
              </w:rPr>
              <w:t>Can a lawyer apply to the court by way of judicial review to "unfreeze" the money?</w:t>
            </w:r>
          </w:p>
          <w:p w:rsidR="00627593" w:rsidRPr="006028EC" w:rsidRDefault="00627593" w:rsidP="00696161">
            <w:pPr>
              <w:pStyle w:val="ListParagraph"/>
              <w:numPr>
                <w:ilvl w:val="1"/>
                <w:numId w:val="2"/>
              </w:numPr>
              <w:spacing w:line="276" w:lineRule="auto"/>
              <w:rPr>
                <w:rFonts w:ascii="Arial" w:hAnsi="Arial" w:cs="Arial"/>
                <w:color w:val="6C6361"/>
                <w:sz w:val="18"/>
                <w:szCs w:val="19"/>
              </w:rPr>
            </w:pPr>
            <w:r w:rsidRPr="006028EC">
              <w:rPr>
                <w:rFonts w:ascii="Arial" w:hAnsi="Arial" w:cs="Arial"/>
                <w:color w:val="6C6361"/>
                <w:sz w:val="18"/>
                <w:szCs w:val="19"/>
              </w:rPr>
              <w:t>Is there a privilege against self-incrimination in civil proceedings?</w:t>
            </w:r>
          </w:p>
          <w:p w:rsidR="00627593" w:rsidRPr="006028EC" w:rsidRDefault="00627593" w:rsidP="00696161">
            <w:pPr>
              <w:pStyle w:val="ListParagraph"/>
              <w:numPr>
                <w:ilvl w:val="1"/>
                <w:numId w:val="2"/>
              </w:numPr>
              <w:spacing w:line="276" w:lineRule="auto"/>
              <w:rPr>
                <w:rFonts w:ascii="Arial" w:hAnsi="Arial" w:cs="Arial"/>
                <w:color w:val="6C6361"/>
                <w:sz w:val="18"/>
                <w:szCs w:val="19"/>
              </w:rPr>
            </w:pPr>
            <w:r w:rsidRPr="006028EC">
              <w:rPr>
                <w:rFonts w:ascii="Arial" w:hAnsi="Arial" w:cs="Arial"/>
                <w:color w:val="6C6361"/>
                <w:sz w:val="18"/>
                <w:szCs w:val="19"/>
              </w:rPr>
              <w:t>What is the implied undertaking with regards to information in civil proceedings?</w:t>
            </w:r>
          </w:p>
          <w:p w:rsidR="00627593" w:rsidRPr="006028EC" w:rsidRDefault="00627593" w:rsidP="00696161">
            <w:pPr>
              <w:pStyle w:val="ListParagraph"/>
              <w:numPr>
                <w:ilvl w:val="1"/>
                <w:numId w:val="2"/>
              </w:numPr>
              <w:spacing w:line="276" w:lineRule="auto"/>
              <w:rPr>
                <w:rFonts w:ascii="Arial" w:hAnsi="Arial" w:cs="Arial"/>
                <w:color w:val="6C6361"/>
                <w:sz w:val="18"/>
                <w:szCs w:val="19"/>
              </w:rPr>
            </w:pPr>
            <w:r w:rsidRPr="006028EC">
              <w:rPr>
                <w:rFonts w:ascii="Arial" w:hAnsi="Arial" w:cs="Arial"/>
                <w:color w:val="6C6361"/>
                <w:sz w:val="18"/>
                <w:szCs w:val="19"/>
              </w:rPr>
              <w:t xml:space="preserve">How does a lawyer deal with the Department of Justice for immunity for his client? </w:t>
            </w:r>
          </w:p>
        </w:tc>
      </w:tr>
    </w:tbl>
    <w:p w:rsidR="00627593" w:rsidRPr="00627593" w:rsidRDefault="00627593" w:rsidP="00474066">
      <w:pPr>
        <w:spacing w:line="276" w:lineRule="auto"/>
        <w:rPr>
          <w:rFonts w:ascii="Arial" w:hAnsi="Arial" w:cs="Arial"/>
          <w:sz w:val="16"/>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627593" w:rsidRPr="000762CF" w:rsidTr="00B84F0F">
        <w:trPr>
          <w:trHeight w:val="284"/>
          <w:jc w:val="center"/>
        </w:trPr>
        <w:tc>
          <w:tcPr>
            <w:tcW w:w="1701" w:type="dxa"/>
            <w:tcBorders>
              <w:top w:val="nil"/>
              <w:left w:val="nil"/>
              <w:bottom w:val="single" w:sz="12" w:space="0" w:color="FFFFFF"/>
            </w:tcBorders>
            <w:shd w:val="clear" w:color="auto" w:fill="F0EBE1"/>
            <w:vAlign w:val="center"/>
          </w:tcPr>
          <w:p w:rsidR="00627593" w:rsidRPr="002343EF"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627593" w:rsidRPr="002343EF"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EVT000000307</w:t>
            </w:r>
          </w:p>
        </w:tc>
        <w:tc>
          <w:tcPr>
            <w:tcW w:w="1701" w:type="dxa"/>
            <w:tcBorders>
              <w:top w:val="nil"/>
              <w:bottom w:val="single" w:sz="12" w:space="0" w:color="FFFFFF"/>
            </w:tcBorders>
            <w:shd w:val="clear" w:color="auto" w:fill="F0EBE1"/>
            <w:vAlign w:val="center"/>
          </w:tcPr>
          <w:p w:rsidR="00627593" w:rsidRPr="002343EF"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27593" w:rsidRPr="002343EF"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627593"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627593" w:rsidRPr="002343EF"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627593" w:rsidRPr="006B70C1"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 July 2020 (Friday)</w:t>
            </w:r>
          </w:p>
        </w:tc>
        <w:tc>
          <w:tcPr>
            <w:tcW w:w="1701" w:type="dxa"/>
            <w:tcBorders>
              <w:top w:val="single" w:sz="12" w:space="0" w:color="FFFFFF"/>
              <w:bottom w:val="single" w:sz="12" w:space="0" w:color="FFFFFF"/>
            </w:tcBorders>
            <w:shd w:val="clear" w:color="auto" w:fill="F0EBE1"/>
            <w:vAlign w:val="center"/>
          </w:tcPr>
          <w:p w:rsidR="00627593" w:rsidRPr="002343EF"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27593" w:rsidRPr="002343EF" w:rsidRDefault="00627593" w:rsidP="0062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F271A"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F271A"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BF271A" w:rsidRPr="00EC7ADB"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F271A" w:rsidRPr="006B70C1"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474066" w:rsidRPr="000762CF" w:rsidTr="00B84F0F">
        <w:trPr>
          <w:trHeight w:val="284"/>
          <w:jc w:val="center"/>
        </w:trPr>
        <w:tc>
          <w:tcPr>
            <w:tcW w:w="1701" w:type="dxa"/>
            <w:tcBorders>
              <w:top w:val="single" w:sz="12" w:space="0" w:color="FFFFFF"/>
              <w:left w:val="nil"/>
              <w:bottom w:val="nil"/>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74066" w:rsidRPr="000762CF" w:rsidRDefault="00474066" w:rsidP="006C3CB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843D703" wp14:editId="1D9C4D4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04C952D" wp14:editId="65039B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02761" w:rsidRDefault="00214BC6" w:rsidP="00474066">
      <w:pPr>
        <w:rPr>
          <w:sz w:val="2"/>
          <w:szCs w:val="2"/>
        </w:rPr>
      </w:pPr>
    </w:p>
    <w:sectPr w:rsidR="00214BC6" w:rsidRPr="00C0276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A32" w:rsidRDefault="00603A32" w:rsidP="00546556">
      <w:r>
        <w:separator/>
      </w:r>
    </w:p>
  </w:endnote>
  <w:endnote w:type="continuationSeparator" w:id="0">
    <w:p w:rsidR="00603A32" w:rsidRDefault="00603A3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A32" w:rsidRDefault="00603A32" w:rsidP="00546556">
      <w:r>
        <w:separator/>
      </w:r>
    </w:p>
  </w:footnote>
  <w:footnote w:type="continuationSeparator" w:id="0">
    <w:p w:rsidR="00603A32" w:rsidRDefault="00603A3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5E2749"/>
    <w:multiLevelType w:val="hybridMultilevel"/>
    <w:tmpl w:val="C6FC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6"/>
  </w:num>
  <w:num w:numId="15">
    <w:abstractNumId w:val="10"/>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kPww2Q8zjBpRB5dgSZsvsk7u2uTDMCqkYk/BW7eSg+DeNBpRFHC5GPNOeZDwu1DWkVtCFiZYy8vyobUEDZyhRA==" w:salt="s/A0L7m/TTHH9LzgGHp+3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6BA"/>
    <w:rsid w:val="000D5EB4"/>
    <w:rsid w:val="000D6856"/>
    <w:rsid w:val="000D7ACB"/>
    <w:rsid w:val="000E0EC7"/>
    <w:rsid w:val="000E102A"/>
    <w:rsid w:val="000E172C"/>
    <w:rsid w:val="000E3318"/>
    <w:rsid w:val="000E3AE4"/>
    <w:rsid w:val="000E3F02"/>
    <w:rsid w:val="000E4337"/>
    <w:rsid w:val="000E4FB2"/>
    <w:rsid w:val="000E7237"/>
    <w:rsid w:val="000E7464"/>
    <w:rsid w:val="000F0110"/>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B89"/>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261"/>
    <w:rsid w:val="00302B25"/>
    <w:rsid w:val="00304C2A"/>
    <w:rsid w:val="00305F22"/>
    <w:rsid w:val="00306557"/>
    <w:rsid w:val="00307FC5"/>
    <w:rsid w:val="00312048"/>
    <w:rsid w:val="00312AD5"/>
    <w:rsid w:val="00314A05"/>
    <w:rsid w:val="0031523F"/>
    <w:rsid w:val="00315617"/>
    <w:rsid w:val="003158A3"/>
    <w:rsid w:val="003171FF"/>
    <w:rsid w:val="00320840"/>
    <w:rsid w:val="00320BE9"/>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32"/>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27593"/>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A1C"/>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78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A67"/>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46A"/>
    <w:rsid w:val="007F1F96"/>
    <w:rsid w:val="007F3C26"/>
    <w:rsid w:val="007F3CF1"/>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074"/>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38DB"/>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3E1"/>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74A"/>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0D20"/>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4F0F"/>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71A"/>
    <w:rsid w:val="00BF2D3D"/>
    <w:rsid w:val="00BF31B4"/>
    <w:rsid w:val="00BF3354"/>
    <w:rsid w:val="00BF441B"/>
    <w:rsid w:val="00BF468F"/>
    <w:rsid w:val="00BF58C7"/>
    <w:rsid w:val="00BF6E97"/>
    <w:rsid w:val="00BF7B24"/>
    <w:rsid w:val="00C00D6A"/>
    <w:rsid w:val="00C02761"/>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DCD"/>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219"/>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87B"/>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34D"/>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211"/>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24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0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4D0CB-5D42-4129-848A-C3B9536F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CPT Course: Law, Practice and Practical Tips in Disciplinary Proceedings of Insurance Agents</vt:lpstr>
    </vt:vector>
  </TitlesOfParts>
  <Manager>Tyrone Tsang</Manager>
  <Company>The Profectional Company Limited</Company>
  <LinksUpToDate>false</LinksUpToDate>
  <CharactersWithSpaces>3184</CharactersWithSpaces>
  <SharedDoc>false</SharedDoc>
  <HyperlinkBase>http://download.profectional.com/events/EVT000000307.docx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Email Fraud: How to Claim Money Back?</dc:title>
  <dc:subject>CPD Course: Email Fraud: How to Claim Money Back?</dc:subject>
  <dc:creator>The Profectional Company Limited</dc:creator>
  <cp:keywords>Profectional; Kornerstone; CPD; CPT; CLE; CE; RME; Dicky Cheung; Barrister; Garden Chambers</cp:keywords>
  <cp:lastModifiedBy>Tyrone Tsang</cp:lastModifiedBy>
  <cp:revision>46</cp:revision>
  <cp:lastPrinted>2019-12-14T12:35:00Z</cp:lastPrinted>
  <dcterms:created xsi:type="dcterms:W3CDTF">2015-05-28T16:24:00Z</dcterms:created>
  <dcterms:modified xsi:type="dcterms:W3CDTF">2020-07-04T01:34:00Z</dcterms:modified>
</cp:coreProperties>
</file>