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15E" w:rsidRPr="00B4015E" w:rsidRDefault="00B4015E" w:rsidP="00B4015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4015E" w:rsidRPr="00523A64" w:rsidTr="002324D8">
        <w:trPr>
          <w:trHeight w:val="3119"/>
          <w:jc w:val="center"/>
        </w:trPr>
        <w:tc>
          <w:tcPr>
            <w:tcW w:w="4797" w:type="dxa"/>
            <w:shd w:val="clear" w:color="auto" w:fill="FFFFFF"/>
            <w:vAlign w:val="center"/>
          </w:tcPr>
          <w:p w:rsidR="00B4015E" w:rsidRPr="001A3018" w:rsidRDefault="00B4015E" w:rsidP="002324D8">
            <w:pPr>
              <w:jc w:val="center"/>
              <w:rPr>
                <w:rFonts w:ascii="Arial" w:hAnsi="Arial" w:cs="Arial"/>
                <w:b/>
                <w:bCs/>
                <w:color w:val="524B48"/>
                <w:sz w:val="4"/>
                <w:szCs w:val="4"/>
              </w:rPr>
            </w:pPr>
          </w:p>
          <w:p w:rsidR="00B4015E" w:rsidRDefault="00B4015E" w:rsidP="002324D8">
            <w:pPr>
              <w:jc w:val="center"/>
              <w:rPr>
                <w:rStyle w:val="Hyperlink"/>
                <w:rFonts w:ascii="Arial" w:hAnsi="Arial" w:cs="Arial"/>
                <w:b/>
                <w:bCs/>
                <w:color w:val="524B48"/>
                <w:sz w:val="32"/>
                <w:szCs w:val="32"/>
                <w:u w:val="none"/>
              </w:rPr>
            </w:pPr>
            <w:r w:rsidRPr="00CF685C">
              <w:fldChar w:fldCharType="begin"/>
            </w:r>
            <w:r>
              <w:instrText>HYPERLINK "http://cpd.hk/evt000000318/"</w:instrText>
            </w:r>
            <w:r w:rsidRPr="00CF685C">
              <w:fldChar w:fldCharType="separate"/>
            </w:r>
            <w:r>
              <w:rPr>
                <w:rStyle w:val="Hyperlink"/>
                <w:rFonts w:ascii="Arial" w:hAnsi="Arial" w:cs="Arial"/>
                <w:b/>
                <w:bCs/>
                <w:color w:val="524B48"/>
                <w:sz w:val="32"/>
                <w:szCs w:val="32"/>
                <w:u w:val="none"/>
              </w:rPr>
              <w:t>Informal Interests</w:t>
            </w:r>
          </w:p>
          <w:p w:rsidR="00B4015E" w:rsidRDefault="00B4015E" w:rsidP="002324D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Property (1):</w:t>
            </w:r>
          </w:p>
          <w:p w:rsidR="00B4015E" w:rsidRDefault="00B4015E" w:rsidP="002324D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Presuming Interests</w:t>
            </w:r>
          </w:p>
          <w:p w:rsidR="00B4015E" w:rsidRDefault="00B4015E" w:rsidP="002324D8">
            <w:pPr>
              <w:jc w:val="center"/>
              <w:rPr>
                <w:rStyle w:val="Hyperlink"/>
                <w:rFonts w:ascii="Arial" w:hAnsi="Arial" w:cs="Arial"/>
                <w:b/>
                <w:bCs/>
                <w:color w:val="524B48"/>
                <w:sz w:val="32"/>
                <w:szCs w:val="32"/>
                <w:u w:val="none"/>
              </w:rPr>
            </w:pPr>
            <w:r w:rsidRPr="005F37DF">
              <w:rPr>
                <w:rStyle w:val="Hyperlink"/>
                <w:rFonts w:ascii="Arial" w:hAnsi="Arial" w:cs="Arial"/>
                <w:b/>
                <w:bCs/>
                <w:color w:val="524B48"/>
                <w:sz w:val="32"/>
                <w:szCs w:val="32"/>
                <w:u w:val="none"/>
              </w:rPr>
              <w:t>and Illegality</w:t>
            </w:r>
          </w:p>
          <w:p w:rsidR="00B4015E" w:rsidRPr="00C65AFD" w:rsidRDefault="00B4015E" w:rsidP="002324D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B4015E" w:rsidRPr="00C65AFD" w:rsidRDefault="00B4015E" w:rsidP="002324D8">
            <w:pPr>
              <w:jc w:val="center"/>
              <w:rPr>
                <w:rFonts w:ascii="Arial" w:hAnsi="Arial" w:cs="Arial"/>
                <w:i/>
                <w:color w:val="6C6361"/>
                <w:sz w:val="24"/>
                <w:szCs w:val="24"/>
              </w:rPr>
            </w:pPr>
            <w:r w:rsidRPr="00C65AFD">
              <w:rPr>
                <w:rFonts w:ascii="Arial" w:hAnsi="Arial" w:cs="Arial"/>
                <w:i/>
                <w:color w:val="6C6361"/>
                <w:sz w:val="24"/>
                <w:szCs w:val="24"/>
              </w:rPr>
              <w:t>by</w:t>
            </w:r>
          </w:p>
          <w:p w:rsidR="00B4015E" w:rsidRDefault="00B4015E" w:rsidP="002324D8">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B4015E" w:rsidRDefault="00B4015E" w:rsidP="002324D8">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B4015E" w:rsidRDefault="00B4015E" w:rsidP="002324D8">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B4015E" w:rsidRDefault="00B4015E" w:rsidP="002324D8">
            <w:pPr>
              <w:jc w:val="center"/>
              <w:rPr>
                <w:rFonts w:ascii="Arial" w:hAnsi="Arial" w:cs="Arial"/>
                <w:color w:val="6C6361"/>
                <w:sz w:val="24"/>
                <w:szCs w:val="24"/>
              </w:rPr>
            </w:pPr>
            <w:r>
              <w:rPr>
                <w:rFonts w:ascii="Arial" w:hAnsi="Arial" w:cs="Arial"/>
                <w:color w:val="6C6361"/>
                <w:sz w:val="24"/>
                <w:szCs w:val="24"/>
              </w:rPr>
              <w:t>The Faculty of Law,</w:t>
            </w:r>
          </w:p>
          <w:p w:rsidR="00B4015E" w:rsidRPr="007E02E6" w:rsidRDefault="00B4015E" w:rsidP="002324D8">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B4015E" w:rsidRPr="00D87ECF" w:rsidRDefault="00B4015E" w:rsidP="002324D8">
            <w:pPr>
              <w:jc w:val="center"/>
              <w:rPr>
                <w:rFonts w:ascii="Arial" w:hAnsi="Arial" w:cs="Arial"/>
                <w:color w:val="6C6361"/>
                <w:sz w:val="8"/>
                <w:szCs w:val="8"/>
              </w:rPr>
            </w:pPr>
          </w:p>
        </w:tc>
        <w:tc>
          <w:tcPr>
            <w:tcW w:w="5976" w:type="dxa"/>
            <w:shd w:val="clear" w:color="auto" w:fill="FFFFFF"/>
            <w:vAlign w:val="center"/>
          </w:tcPr>
          <w:p w:rsidR="00B4015E" w:rsidRPr="00D50772" w:rsidRDefault="00B4015E" w:rsidP="002324D8">
            <w:pPr>
              <w:spacing w:line="276" w:lineRule="auto"/>
              <w:rPr>
                <w:rFonts w:ascii="Arial" w:eastAsia="Times New Roman" w:hAnsi="Arial" w:cs="Arial"/>
                <w:noProof/>
                <w:sz w:val="20"/>
                <w:szCs w:val="20"/>
              </w:rPr>
            </w:pPr>
            <w:r w:rsidRPr="00A46DB8">
              <w:rPr>
                <w:rFonts w:ascii="Arial" w:eastAsia="Times New Roman" w:hAnsi="Arial" w:cs="Arial"/>
                <w:noProof/>
                <w:sz w:val="20"/>
                <w:szCs w:val="20"/>
              </w:rPr>
              <w:drawing>
                <wp:anchor distT="0" distB="0" distL="114300" distR="114300" simplePos="0" relativeHeight="251659264" behindDoc="0" locked="0" layoutInCell="1" allowOverlap="1" wp14:anchorId="1457C29B" wp14:editId="05D167A3">
                  <wp:simplePos x="0" y="0"/>
                  <wp:positionH relativeFrom="column">
                    <wp:posOffset>3175635</wp:posOffset>
                  </wp:positionH>
                  <wp:positionV relativeFrom="paragraph">
                    <wp:posOffset>-186055</wp:posOffset>
                  </wp:positionV>
                  <wp:extent cx="539750" cy="550545"/>
                  <wp:effectExtent l="0" t="0" r="0" b="190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D819BF3" wp14:editId="00489AE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B4015E" w:rsidRPr="005F37DF" w:rsidRDefault="00B4015E" w:rsidP="00B4015E">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B4015E" w:rsidRPr="005F37DF" w:rsidTr="002324D8">
        <w:trPr>
          <w:trHeight w:val="2501"/>
          <w:jc w:val="center"/>
        </w:trPr>
        <w:tc>
          <w:tcPr>
            <w:tcW w:w="1985" w:type="dxa"/>
            <w:shd w:val="clear" w:color="auto" w:fill="FFFFFF"/>
            <w:vAlign w:val="center"/>
          </w:tcPr>
          <w:p w:rsidR="00B4015E" w:rsidRPr="005F37DF" w:rsidRDefault="00B4015E" w:rsidP="002324D8">
            <w:pPr>
              <w:spacing w:line="276" w:lineRule="auto"/>
              <w:jc w:val="center"/>
              <w:rPr>
                <w:rFonts w:ascii="Arial" w:hAnsi="Arial" w:cs="Arial"/>
                <w:sz w:val="24"/>
                <w:szCs w:val="20"/>
              </w:rPr>
            </w:pPr>
            <w:r w:rsidRPr="005F37DF">
              <w:rPr>
                <w:rFonts w:ascii="Arial" w:hAnsi="Arial" w:cs="Arial"/>
                <w:noProof/>
                <w:sz w:val="24"/>
                <w:szCs w:val="20"/>
              </w:rPr>
              <w:drawing>
                <wp:inline distT="0" distB="0" distL="0" distR="0" wp14:anchorId="7C6BAA1E" wp14:editId="496A3A0F">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B4015E" w:rsidRPr="005F37DF" w:rsidRDefault="00B4015E" w:rsidP="002324D8">
            <w:pPr>
              <w:rPr>
                <w:rFonts w:ascii="Arial" w:hAnsi="Arial" w:cs="Arial"/>
                <w:color w:val="6C6361"/>
                <w:szCs w:val="21"/>
              </w:rPr>
            </w:pPr>
            <w:r w:rsidRPr="005F37DF">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5F37DF">
              <w:rPr>
                <w:rFonts w:ascii="Arial" w:hAnsi="Arial" w:cs="Arial"/>
                <w:color w:val="6C6361"/>
                <w:szCs w:val="21"/>
              </w:rPr>
              <w:t>programme</w:t>
            </w:r>
            <w:proofErr w:type="spellEnd"/>
            <w:r w:rsidRPr="005F37DF">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rsidR="00B4015E" w:rsidRPr="005F37DF" w:rsidRDefault="00B4015E" w:rsidP="00B4015E">
      <w:pPr>
        <w:spacing w:line="276" w:lineRule="auto"/>
        <w:jc w:val="left"/>
        <w:rPr>
          <w:rFonts w:ascii="Arial" w:hAnsi="Arial" w:cs="Arial"/>
          <w:sz w:val="16"/>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B4015E" w:rsidRPr="005F37DF" w:rsidTr="002324D8">
        <w:trPr>
          <w:trHeight w:val="2232"/>
          <w:jc w:val="center"/>
        </w:trPr>
        <w:tc>
          <w:tcPr>
            <w:tcW w:w="10773" w:type="dxa"/>
            <w:gridSpan w:val="2"/>
            <w:tcBorders>
              <w:top w:val="nil"/>
              <w:bottom w:val="nil"/>
            </w:tcBorders>
            <w:shd w:val="clear" w:color="auto" w:fill="FFFFFF" w:themeFill="background1"/>
            <w:vAlign w:val="center"/>
          </w:tcPr>
          <w:p w:rsidR="00B4015E" w:rsidRPr="005F37DF" w:rsidRDefault="00B4015E" w:rsidP="002324D8">
            <w:pPr>
              <w:spacing w:line="276" w:lineRule="auto"/>
              <w:rPr>
                <w:rFonts w:ascii="Arial" w:hAnsi="Arial" w:cs="Arial"/>
                <w:color w:val="6C6361"/>
                <w:szCs w:val="21"/>
              </w:rPr>
            </w:pPr>
            <w:r w:rsidRPr="005F37DF">
              <w:rPr>
                <w:rFonts w:ascii="Arial" w:hAnsi="Arial" w:cs="Arial"/>
                <w:color w:val="6C6361"/>
                <w:szCs w:val="21"/>
              </w:rPr>
              <w:t xml:space="preserve">This three-hour seminar will provide an introduction and overview of the use of equity to establish and/or vary interests in property.  The seminar will consider implied trusts and the development of the law of resulting trusts to </w:t>
            </w:r>
            <w:proofErr w:type="spellStart"/>
            <w:r w:rsidRPr="005F37DF">
              <w:rPr>
                <w:rFonts w:ascii="Arial" w:hAnsi="Arial" w:cs="Arial"/>
                <w:color w:val="6C6361"/>
                <w:szCs w:val="21"/>
              </w:rPr>
              <w:t>recognise</w:t>
            </w:r>
            <w:proofErr w:type="spellEnd"/>
            <w:r w:rsidRPr="005F37DF">
              <w:rPr>
                <w:rFonts w:ascii="Arial" w:hAnsi="Arial" w:cs="Arial"/>
                <w:color w:val="6C6361"/>
                <w:szCs w:val="21"/>
              </w:rPr>
              <w:t xml:space="preserve"> interests in property.  The seminar will consider the </w:t>
            </w:r>
            <w:proofErr w:type="spellStart"/>
            <w:r w:rsidRPr="005F37DF">
              <w:rPr>
                <w:rFonts w:ascii="Arial" w:hAnsi="Arial" w:cs="Arial"/>
                <w:color w:val="6C6361"/>
                <w:szCs w:val="21"/>
              </w:rPr>
              <w:t>categorisation</w:t>
            </w:r>
            <w:proofErr w:type="spellEnd"/>
            <w:r w:rsidRPr="005F37DF">
              <w:rPr>
                <w:rFonts w:ascii="Arial" w:hAnsi="Arial" w:cs="Arial"/>
                <w:color w:val="6C6361"/>
                <w:szCs w:val="21"/>
              </w:rPr>
              <w:t xml:space="preserve"> of resulting trusts as presumed resulting trusts and automatic resulting trusts.  The seminar will then consider the seeming demise of the presumption of resulting trust and its linked but contrary presumption, the presumption of advancement, in England and its survival in Hong Kong.  The doctrine of illegality as it affects presumed resulting trusts in Hong King will also be considered.</w:t>
            </w:r>
          </w:p>
        </w:tc>
      </w:tr>
      <w:tr w:rsidR="00B4015E" w:rsidRPr="005F37DF" w:rsidTr="002324D8">
        <w:trPr>
          <w:trHeight w:val="397"/>
          <w:jc w:val="center"/>
        </w:trPr>
        <w:tc>
          <w:tcPr>
            <w:tcW w:w="10773" w:type="dxa"/>
            <w:gridSpan w:val="2"/>
            <w:tcBorders>
              <w:top w:val="nil"/>
              <w:bottom w:val="nil"/>
            </w:tcBorders>
            <w:shd w:val="clear" w:color="auto" w:fill="F0EBE1"/>
            <w:vAlign w:val="center"/>
          </w:tcPr>
          <w:p w:rsidR="00B4015E" w:rsidRPr="005F37DF" w:rsidRDefault="00B4015E" w:rsidP="002324D8">
            <w:pPr>
              <w:spacing w:line="276" w:lineRule="auto"/>
              <w:jc w:val="left"/>
              <w:rPr>
                <w:rFonts w:ascii="Arial" w:hAnsi="Arial" w:cs="Arial"/>
                <w:b/>
                <w:color w:val="524B48"/>
                <w:szCs w:val="21"/>
              </w:rPr>
            </w:pPr>
            <w:r w:rsidRPr="005F37DF">
              <w:rPr>
                <w:rFonts w:ascii="Arial" w:hAnsi="Arial" w:cs="Arial"/>
                <w:b/>
                <w:color w:val="524B48"/>
                <w:szCs w:val="21"/>
              </w:rPr>
              <w:t>Some of the topics considered in this seminar include:</w:t>
            </w:r>
          </w:p>
        </w:tc>
      </w:tr>
      <w:tr w:rsidR="00B4015E" w:rsidRPr="005F37DF" w:rsidTr="002324D8">
        <w:trPr>
          <w:trHeight w:val="2014"/>
          <w:jc w:val="center"/>
        </w:trPr>
        <w:tc>
          <w:tcPr>
            <w:tcW w:w="9072" w:type="dxa"/>
            <w:tcBorders>
              <w:top w:val="nil"/>
              <w:bottom w:val="nil"/>
              <w:right w:val="nil"/>
            </w:tcBorders>
            <w:shd w:val="clear" w:color="auto" w:fill="FFFFFF" w:themeFill="background1"/>
            <w:vAlign w:val="center"/>
          </w:tcPr>
          <w:p w:rsidR="00B4015E" w:rsidRPr="005F37DF" w:rsidRDefault="00B4015E" w:rsidP="002324D8">
            <w:pPr>
              <w:pStyle w:val="ListParagraph"/>
              <w:numPr>
                <w:ilvl w:val="0"/>
                <w:numId w:val="2"/>
              </w:numPr>
              <w:spacing w:line="276" w:lineRule="auto"/>
              <w:jc w:val="left"/>
              <w:rPr>
                <w:rFonts w:ascii="Arial" w:hAnsi="Arial" w:cs="Arial"/>
                <w:color w:val="6C6361"/>
                <w:szCs w:val="21"/>
              </w:rPr>
            </w:pPr>
            <w:r w:rsidRPr="005F37DF">
              <w:rPr>
                <w:rFonts w:ascii="Arial" w:hAnsi="Arial" w:cs="Arial"/>
                <w:color w:val="6C6361"/>
                <w:szCs w:val="21"/>
              </w:rPr>
              <w:t>Implied trusts;</w:t>
            </w:r>
          </w:p>
          <w:p w:rsidR="00B4015E" w:rsidRPr="005F37DF" w:rsidRDefault="00B4015E" w:rsidP="002324D8">
            <w:pPr>
              <w:pStyle w:val="ListParagraph"/>
              <w:numPr>
                <w:ilvl w:val="0"/>
                <w:numId w:val="2"/>
              </w:numPr>
              <w:spacing w:line="276" w:lineRule="auto"/>
              <w:jc w:val="left"/>
              <w:rPr>
                <w:rFonts w:ascii="Arial" w:hAnsi="Arial" w:cs="Arial"/>
                <w:color w:val="6C6361"/>
                <w:szCs w:val="21"/>
              </w:rPr>
            </w:pPr>
            <w:r w:rsidRPr="005F37DF">
              <w:rPr>
                <w:rFonts w:ascii="Arial" w:hAnsi="Arial" w:cs="Arial"/>
                <w:color w:val="6C6361"/>
                <w:szCs w:val="21"/>
              </w:rPr>
              <w:t>The origins of the doctrines of resulting trusts and constructive trusts;</w:t>
            </w:r>
          </w:p>
          <w:p w:rsidR="00B4015E" w:rsidRPr="005F37DF" w:rsidRDefault="00B4015E" w:rsidP="002324D8">
            <w:pPr>
              <w:pStyle w:val="ListParagraph"/>
              <w:numPr>
                <w:ilvl w:val="0"/>
                <w:numId w:val="2"/>
              </w:numPr>
              <w:spacing w:line="276" w:lineRule="auto"/>
              <w:jc w:val="left"/>
              <w:rPr>
                <w:rFonts w:ascii="Arial" w:hAnsi="Arial" w:cs="Arial"/>
                <w:color w:val="6C6361"/>
                <w:szCs w:val="21"/>
              </w:rPr>
            </w:pPr>
            <w:r w:rsidRPr="005F37DF">
              <w:rPr>
                <w:rFonts w:ascii="Arial" w:hAnsi="Arial" w:cs="Arial"/>
                <w:color w:val="6C6361"/>
                <w:szCs w:val="21"/>
              </w:rPr>
              <w:t>The presumption of resulting trust;</w:t>
            </w:r>
          </w:p>
          <w:p w:rsidR="00B4015E" w:rsidRPr="005F37DF" w:rsidRDefault="00B4015E" w:rsidP="002324D8">
            <w:pPr>
              <w:pStyle w:val="ListParagraph"/>
              <w:numPr>
                <w:ilvl w:val="0"/>
                <w:numId w:val="2"/>
              </w:numPr>
              <w:spacing w:line="276" w:lineRule="auto"/>
              <w:jc w:val="left"/>
              <w:rPr>
                <w:rFonts w:ascii="Arial" w:hAnsi="Arial" w:cs="Arial"/>
                <w:color w:val="6C6361"/>
                <w:szCs w:val="21"/>
              </w:rPr>
            </w:pPr>
            <w:r w:rsidRPr="005F37DF">
              <w:rPr>
                <w:rFonts w:ascii="Arial" w:hAnsi="Arial" w:cs="Arial"/>
                <w:color w:val="6C6361"/>
                <w:szCs w:val="21"/>
              </w:rPr>
              <w:t>Rebutting the presumption of resulting trust;</w:t>
            </w:r>
          </w:p>
          <w:p w:rsidR="00B4015E" w:rsidRPr="005F37DF" w:rsidRDefault="00B4015E" w:rsidP="002324D8">
            <w:pPr>
              <w:pStyle w:val="ListParagraph"/>
              <w:numPr>
                <w:ilvl w:val="0"/>
                <w:numId w:val="2"/>
              </w:numPr>
              <w:spacing w:line="276" w:lineRule="auto"/>
              <w:jc w:val="left"/>
              <w:rPr>
                <w:rFonts w:ascii="Arial" w:hAnsi="Arial" w:cs="Arial"/>
                <w:color w:val="6C6361"/>
                <w:szCs w:val="21"/>
              </w:rPr>
            </w:pPr>
            <w:r w:rsidRPr="005F37DF">
              <w:rPr>
                <w:rFonts w:ascii="Arial" w:hAnsi="Arial" w:cs="Arial"/>
                <w:color w:val="6C6361"/>
                <w:szCs w:val="21"/>
              </w:rPr>
              <w:t>The presumption of advancement;</w:t>
            </w:r>
          </w:p>
          <w:p w:rsidR="00B4015E" w:rsidRPr="005F37DF" w:rsidRDefault="00B4015E" w:rsidP="002324D8">
            <w:pPr>
              <w:pStyle w:val="ListParagraph"/>
              <w:numPr>
                <w:ilvl w:val="0"/>
                <w:numId w:val="2"/>
              </w:numPr>
              <w:spacing w:line="276" w:lineRule="auto"/>
              <w:jc w:val="left"/>
              <w:rPr>
                <w:rFonts w:ascii="Arial" w:hAnsi="Arial" w:cs="Arial"/>
                <w:color w:val="6C6361"/>
                <w:szCs w:val="21"/>
              </w:rPr>
            </w:pPr>
            <w:r w:rsidRPr="005F37DF">
              <w:rPr>
                <w:rFonts w:ascii="Arial" w:hAnsi="Arial" w:cs="Arial"/>
                <w:color w:val="6C6361"/>
                <w:szCs w:val="21"/>
              </w:rPr>
              <w:t>The doctrine of illegality in Hong Kong including issues with the Small House Policy.</w:t>
            </w:r>
          </w:p>
        </w:tc>
        <w:tc>
          <w:tcPr>
            <w:tcW w:w="1701" w:type="dxa"/>
            <w:tcBorders>
              <w:top w:val="nil"/>
              <w:left w:val="nil"/>
              <w:bottom w:val="nil"/>
            </w:tcBorders>
            <w:shd w:val="clear" w:color="auto" w:fill="FFFFFF" w:themeFill="background1"/>
            <w:vAlign w:val="center"/>
          </w:tcPr>
          <w:p w:rsidR="00B4015E" w:rsidRPr="005F37DF" w:rsidRDefault="00B4015E" w:rsidP="002324D8">
            <w:pPr>
              <w:spacing w:line="276" w:lineRule="auto"/>
              <w:jc w:val="center"/>
              <w:rPr>
                <w:rFonts w:ascii="Arial" w:hAnsi="Arial" w:cs="Arial"/>
                <w:color w:val="6C6361"/>
                <w:szCs w:val="20"/>
              </w:rPr>
            </w:pPr>
            <w:r w:rsidRPr="00A46DB8">
              <w:rPr>
                <w:rFonts w:ascii="Arial" w:hAnsi="Arial" w:cs="Arial"/>
                <w:noProof/>
                <w:color w:val="6C6361"/>
                <w:szCs w:val="20"/>
              </w:rPr>
              <w:drawing>
                <wp:inline distT="0" distB="0" distL="0" distR="0" wp14:anchorId="0B422EBD" wp14:editId="0507C19C">
                  <wp:extent cx="892800" cy="10224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B4015E" w:rsidRPr="00B4015E" w:rsidRDefault="00B4015E" w:rsidP="00680C81">
      <w:pPr>
        <w:spacing w:line="276" w:lineRule="auto"/>
        <w:rPr>
          <w:rFonts w:ascii="Arial" w:hAnsi="Arial" w:cs="Arial"/>
          <w:sz w:val="16"/>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70"/>
        <w:gridCol w:w="1315"/>
      </w:tblGrid>
      <w:tr w:rsidR="00B4015E" w:rsidRPr="00320F79" w:rsidTr="00D16A04">
        <w:trPr>
          <w:trHeight w:val="340"/>
          <w:jc w:val="center"/>
        </w:trPr>
        <w:tc>
          <w:tcPr>
            <w:tcW w:w="1701" w:type="dxa"/>
            <w:tcBorders>
              <w:top w:val="nil"/>
              <w:left w:val="nil"/>
              <w:bottom w:val="single" w:sz="12" w:space="0" w:color="FFFFFF"/>
            </w:tcBorders>
            <w:shd w:val="clear" w:color="auto" w:fill="F0EBE1"/>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EVT000000318</w:t>
            </w:r>
          </w:p>
        </w:tc>
        <w:tc>
          <w:tcPr>
            <w:tcW w:w="1701" w:type="dxa"/>
            <w:tcBorders>
              <w:top w:val="nil"/>
              <w:bottom w:val="single" w:sz="12" w:space="0" w:color="FFFFFF"/>
            </w:tcBorders>
            <w:shd w:val="clear" w:color="auto" w:fill="F0EBE1"/>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4015E"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19 October 2020 (Monday)</w:t>
            </w:r>
          </w:p>
        </w:tc>
        <w:tc>
          <w:tcPr>
            <w:tcW w:w="1701" w:type="dxa"/>
            <w:tcBorders>
              <w:top w:val="single" w:sz="12" w:space="0" w:color="FFFFFF"/>
              <w:bottom w:val="single" w:sz="12" w:space="0" w:color="FFFFFF"/>
            </w:tcBorders>
            <w:shd w:val="clear" w:color="auto" w:fill="F0EBE1"/>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B4015E"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B4015E" w:rsidRPr="00320F79"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B4015E" w:rsidRPr="00E843DA" w:rsidRDefault="00B4015E" w:rsidP="00B40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4502F7" w:rsidRPr="00320F79" w:rsidTr="0053000F">
        <w:trPr>
          <w:trHeight w:val="397"/>
          <w:jc w:val="center"/>
        </w:trPr>
        <w:tc>
          <w:tcPr>
            <w:tcW w:w="1701" w:type="dxa"/>
            <w:tcBorders>
              <w:top w:val="single" w:sz="12" w:space="0" w:color="FFFFFF"/>
              <w:left w:val="nil"/>
              <w:bottom w:val="nil"/>
            </w:tcBorders>
            <w:shd w:val="clear" w:color="auto" w:fill="F0EBE1"/>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b/>
                <w:color w:val="6C6361"/>
                <w:sz w:val="20"/>
                <w:szCs w:val="20"/>
              </w:rPr>
              <w:t>Online</w:t>
            </w:r>
            <w:r w:rsidRPr="00093BBD">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4502F7" w:rsidRPr="00156567"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4C74AA0" wp14:editId="0C869C4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BD0" w:rsidRDefault="00A41BD0" w:rsidP="00546556">
      <w:r>
        <w:separator/>
      </w:r>
    </w:p>
  </w:endnote>
  <w:endnote w:type="continuationSeparator" w:id="0">
    <w:p w:rsidR="00A41BD0" w:rsidRDefault="00A41BD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BD0" w:rsidRDefault="00A41BD0" w:rsidP="00546556">
      <w:r>
        <w:separator/>
      </w:r>
    </w:p>
  </w:footnote>
  <w:footnote w:type="continuationSeparator" w:id="0">
    <w:p w:rsidR="00A41BD0" w:rsidRDefault="00A41BD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6DqX/YUur1XjqrSyAVc2VRi5xkd696LxxzDNz3p6/rrIYH4gbiLzHFDYO6UBpShr+bTzPFehSS4RzgxVxbaBiA==" w:salt="SXSkEt55UZRBUpb1olzVz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18/"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8A4CB-42C1-443D-98D4-5A0CA2C8A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CPD Course: Unjust Enrichment: Does it Exist and if So, What is it, Where is it Going and Can We Humanely Dispose of it?</vt:lpstr>
    </vt:vector>
  </TitlesOfParts>
  <Manager>Tyrone Tsang</Manager>
  <Company>The Profectional Company Limited</Company>
  <LinksUpToDate>false</LinksUpToDate>
  <CharactersWithSpaces>2248</CharactersWithSpaces>
  <SharedDoc>false</SharedDoc>
  <HyperlinkBase>http://download.profectional.com/events/EVT000000318.docx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Informal Interests in Property (1): Presuming Interests and Illegality</dc:title>
  <dc:subject>CPD Course: Informal Interests in Property (1): Presuming Interests and Illegality</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55</cp:revision>
  <cp:lastPrinted>2020-10-19T07:11:00Z</cp:lastPrinted>
  <dcterms:created xsi:type="dcterms:W3CDTF">2017-01-12T02:41:00Z</dcterms:created>
  <dcterms:modified xsi:type="dcterms:W3CDTF">2020-10-19T07:12:00Z</dcterms:modified>
</cp:coreProperties>
</file>