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7FA6" w:rsidRPr="00637FA6" w:rsidRDefault="00637FA6" w:rsidP="00637FA6">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637FA6" w:rsidRPr="00523A64" w:rsidTr="00E409FF">
        <w:trPr>
          <w:trHeight w:val="3119"/>
          <w:jc w:val="center"/>
        </w:trPr>
        <w:tc>
          <w:tcPr>
            <w:tcW w:w="4797" w:type="dxa"/>
            <w:shd w:val="clear" w:color="auto" w:fill="FFFFFF"/>
            <w:vAlign w:val="center"/>
          </w:tcPr>
          <w:p w:rsidR="00637FA6" w:rsidRPr="001A3018" w:rsidRDefault="00637FA6" w:rsidP="00E409FF">
            <w:pPr>
              <w:jc w:val="center"/>
              <w:rPr>
                <w:rFonts w:ascii="Arial" w:hAnsi="Arial" w:cs="Arial"/>
                <w:b/>
                <w:bCs/>
                <w:color w:val="524B48"/>
                <w:sz w:val="4"/>
                <w:szCs w:val="4"/>
              </w:rPr>
            </w:pPr>
          </w:p>
          <w:p w:rsidR="00637FA6" w:rsidRDefault="00637FA6" w:rsidP="00E409FF">
            <w:pPr>
              <w:jc w:val="center"/>
              <w:rPr>
                <w:rStyle w:val="Hyperlink"/>
                <w:rFonts w:ascii="Arial" w:hAnsi="Arial" w:cs="Arial"/>
                <w:b/>
                <w:bCs/>
                <w:color w:val="524B48"/>
                <w:sz w:val="32"/>
                <w:szCs w:val="32"/>
                <w:u w:val="none"/>
              </w:rPr>
            </w:pPr>
            <w:r w:rsidRPr="00CF685C">
              <w:fldChar w:fldCharType="begin"/>
            </w:r>
            <w:r>
              <w:instrText>HYPERLINK "http://cpd.hk/evt000000319/"</w:instrText>
            </w:r>
            <w:r w:rsidRPr="00CF685C">
              <w:fldChar w:fldCharType="separate"/>
            </w:r>
            <w:r>
              <w:rPr>
                <w:rStyle w:val="Hyperlink"/>
                <w:rFonts w:ascii="Arial" w:hAnsi="Arial" w:cs="Arial"/>
                <w:b/>
                <w:bCs/>
                <w:color w:val="524B48"/>
                <w:sz w:val="32"/>
                <w:szCs w:val="32"/>
                <w:u w:val="none"/>
              </w:rPr>
              <w:t>Informal Interests</w:t>
            </w:r>
          </w:p>
          <w:p w:rsidR="00637FA6" w:rsidRDefault="00637FA6" w:rsidP="00E409F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 Property (2):</w:t>
            </w:r>
          </w:p>
          <w:p w:rsidR="00637FA6" w:rsidRDefault="00637FA6" w:rsidP="00E409F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Automatic Resulting</w:t>
            </w:r>
          </w:p>
          <w:p w:rsidR="00637FA6" w:rsidRDefault="00637FA6" w:rsidP="00E409F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Trusts (Including</w:t>
            </w:r>
          </w:p>
          <w:p w:rsidR="00637FA6" w:rsidRDefault="00637FA6" w:rsidP="00E409FF">
            <w:pPr>
              <w:jc w:val="center"/>
              <w:rPr>
                <w:rStyle w:val="Hyperlink"/>
                <w:rFonts w:ascii="Arial" w:hAnsi="Arial" w:cs="Arial"/>
                <w:b/>
                <w:bCs/>
                <w:color w:val="524B48"/>
                <w:sz w:val="32"/>
                <w:szCs w:val="32"/>
                <w:u w:val="none"/>
              </w:rPr>
            </w:pPr>
            <w:proofErr w:type="spellStart"/>
            <w:r>
              <w:rPr>
                <w:rStyle w:val="Hyperlink"/>
                <w:rFonts w:ascii="Arial" w:hAnsi="Arial" w:cs="Arial"/>
                <w:b/>
                <w:bCs/>
                <w:color w:val="524B48"/>
                <w:sz w:val="32"/>
                <w:szCs w:val="32"/>
                <w:u w:val="none"/>
              </w:rPr>
              <w:t>Quistclose</w:t>
            </w:r>
            <w:proofErr w:type="spellEnd"/>
            <w:r>
              <w:rPr>
                <w:rStyle w:val="Hyperlink"/>
                <w:rFonts w:ascii="Arial" w:hAnsi="Arial" w:cs="Arial"/>
                <w:b/>
                <w:bCs/>
                <w:color w:val="524B48"/>
                <w:sz w:val="32"/>
                <w:szCs w:val="32"/>
                <w:u w:val="none"/>
              </w:rPr>
              <w:t xml:space="preserve"> Trusts and</w:t>
            </w:r>
          </w:p>
          <w:p w:rsidR="00637FA6" w:rsidRDefault="00637FA6" w:rsidP="00E409FF">
            <w:pPr>
              <w:jc w:val="center"/>
              <w:rPr>
                <w:rStyle w:val="Hyperlink"/>
                <w:rFonts w:ascii="Arial" w:hAnsi="Arial" w:cs="Arial"/>
                <w:b/>
                <w:bCs/>
                <w:color w:val="524B48"/>
                <w:sz w:val="32"/>
                <w:szCs w:val="32"/>
                <w:u w:val="none"/>
              </w:rPr>
            </w:pPr>
            <w:proofErr w:type="spellStart"/>
            <w:r>
              <w:rPr>
                <w:rStyle w:val="Hyperlink"/>
                <w:rFonts w:ascii="Arial" w:hAnsi="Arial" w:cs="Arial"/>
                <w:b/>
                <w:bCs/>
                <w:color w:val="524B48"/>
                <w:sz w:val="32"/>
                <w:szCs w:val="32"/>
                <w:u w:val="none"/>
              </w:rPr>
              <w:t>Romalpa</w:t>
            </w:r>
            <w:proofErr w:type="spellEnd"/>
            <w:r>
              <w:rPr>
                <w:rStyle w:val="Hyperlink"/>
                <w:rFonts w:ascii="Arial" w:hAnsi="Arial" w:cs="Arial"/>
                <w:b/>
                <w:bCs/>
                <w:color w:val="524B48"/>
                <w:sz w:val="32"/>
                <w:szCs w:val="32"/>
                <w:u w:val="none"/>
              </w:rPr>
              <w:t xml:space="preserve"> Clauses) and</w:t>
            </w:r>
          </w:p>
          <w:p w:rsidR="00637FA6" w:rsidRDefault="00637FA6" w:rsidP="00E409FF">
            <w:pPr>
              <w:jc w:val="center"/>
              <w:rPr>
                <w:rStyle w:val="Hyperlink"/>
                <w:rFonts w:ascii="Arial" w:hAnsi="Arial" w:cs="Arial"/>
                <w:b/>
                <w:bCs/>
                <w:color w:val="524B48"/>
                <w:sz w:val="32"/>
                <w:szCs w:val="32"/>
                <w:u w:val="none"/>
              </w:rPr>
            </w:pPr>
            <w:r w:rsidRPr="005768BB">
              <w:rPr>
                <w:rStyle w:val="Hyperlink"/>
                <w:rFonts w:ascii="Arial" w:hAnsi="Arial" w:cs="Arial"/>
                <w:b/>
                <w:bCs/>
                <w:color w:val="524B48"/>
                <w:sz w:val="32"/>
                <w:szCs w:val="32"/>
                <w:u w:val="none"/>
              </w:rPr>
              <w:t>Constructive Trusts</w:t>
            </w:r>
          </w:p>
          <w:p w:rsidR="00637FA6" w:rsidRPr="00C65AFD" w:rsidRDefault="00637FA6" w:rsidP="00E409FF">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637FA6" w:rsidRPr="00C65AFD" w:rsidRDefault="00637FA6" w:rsidP="00E409FF">
            <w:pPr>
              <w:jc w:val="center"/>
              <w:rPr>
                <w:rFonts w:ascii="Arial" w:hAnsi="Arial" w:cs="Arial"/>
                <w:i/>
                <w:color w:val="6C6361"/>
                <w:sz w:val="24"/>
                <w:szCs w:val="24"/>
              </w:rPr>
            </w:pPr>
            <w:r w:rsidRPr="00C65AFD">
              <w:rPr>
                <w:rFonts w:ascii="Arial" w:hAnsi="Arial" w:cs="Arial"/>
                <w:i/>
                <w:color w:val="6C6361"/>
                <w:sz w:val="24"/>
                <w:szCs w:val="24"/>
              </w:rPr>
              <w:t>by</w:t>
            </w:r>
          </w:p>
          <w:p w:rsidR="00637FA6" w:rsidRDefault="00637FA6" w:rsidP="00E409FF">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rsidR="00637FA6" w:rsidRDefault="00637FA6" w:rsidP="00E409FF">
            <w:pPr>
              <w:jc w:val="center"/>
              <w:rPr>
                <w:rFonts w:ascii="Arial" w:hAnsi="Arial" w:cs="Arial"/>
                <w:color w:val="6C6361"/>
                <w:sz w:val="24"/>
                <w:szCs w:val="24"/>
              </w:rPr>
            </w:pPr>
            <w:r w:rsidRPr="00BB7007">
              <w:rPr>
                <w:rFonts w:ascii="Arial" w:hAnsi="Arial" w:cs="Arial"/>
                <w:color w:val="6C6361"/>
                <w:sz w:val="24"/>
                <w:szCs w:val="24"/>
              </w:rPr>
              <w:t>Associat</w:t>
            </w:r>
            <w:r>
              <w:rPr>
                <w:rFonts w:ascii="Arial" w:hAnsi="Arial" w:cs="Arial"/>
                <w:color w:val="6C6361"/>
                <w:sz w:val="24"/>
                <w:szCs w:val="24"/>
              </w:rPr>
              <w:t>e Professor of Practice in Law,</w:t>
            </w:r>
          </w:p>
          <w:p w:rsidR="00637FA6" w:rsidRDefault="00637FA6" w:rsidP="00E409FF">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rsidR="00637FA6" w:rsidRDefault="00637FA6" w:rsidP="00E409FF">
            <w:pPr>
              <w:jc w:val="center"/>
              <w:rPr>
                <w:rFonts w:ascii="Arial" w:hAnsi="Arial" w:cs="Arial"/>
                <w:color w:val="6C6361"/>
                <w:sz w:val="24"/>
                <w:szCs w:val="24"/>
              </w:rPr>
            </w:pPr>
            <w:r>
              <w:rPr>
                <w:rFonts w:ascii="Arial" w:hAnsi="Arial" w:cs="Arial"/>
                <w:color w:val="6C6361"/>
                <w:sz w:val="24"/>
                <w:szCs w:val="24"/>
              </w:rPr>
              <w:t>The Faculty of Law,</w:t>
            </w:r>
          </w:p>
          <w:p w:rsidR="00637FA6" w:rsidRPr="007E02E6" w:rsidRDefault="00637FA6" w:rsidP="00E409FF">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rsidR="00637FA6" w:rsidRPr="00D87ECF" w:rsidRDefault="00637FA6" w:rsidP="00E409FF">
            <w:pPr>
              <w:jc w:val="center"/>
              <w:rPr>
                <w:rFonts w:ascii="Arial" w:hAnsi="Arial" w:cs="Arial"/>
                <w:color w:val="6C6361"/>
                <w:sz w:val="8"/>
                <w:szCs w:val="8"/>
              </w:rPr>
            </w:pPr>
          </w:p>
        </w:tc>
        <w:tc>
          <w:tcPr>
            <w:tcW w:w="5976" w:type="dxa"/>
            <w:shd w:val="clear" w:color="auto" w:fill="FFFFFF"/>
            <w:vAlign w:val="center"/>
          </w:tcPr>
          <w:p w:rsidR="00637FA6" w:rsidRPr="00D50772" w:rsidRDefault="00637FA6" w:rsidP="00E409FF">
            <w:pPr>
              <w:spacing w:line="276" w:lineRule="auto"/>
              <w:rPr>
                <w:rFonts w:ascii="Arial" w:eastAsia="Times New Roman" w:hAnsi="Arial" w:cs="Arial"/>
                <w:noProof/>
                <w:sz w:val="20"/>
                <w:szCs w:val="20"/>
              </w:rPr>
            </w:pPr>
            <w:r w:rsidRPr="001C6640">
              <w:rPr>
                <w:rFonts w:ascii="Arial" w:eastAsia="Times New Roman" w:hAnsi="Arial" w:cs="Arial"/>
                <w:noProof/>
                <w:sz w:val="20"/>
                <w:szCs w:val="20"/>
              </w:rPr>
              <w:drawing>
                <wp:anchor distT="0" distB="0" distL="114300" distR="114300" simplePos="0" relativeHeight="251659264" behindDoc="0" locked="0" layoutInCell="1" allowOverlap="1" wp14:anchorId="2B6D3017" wp14:editId="16DAB3A8">
                  <wp:simplePos x="0" y="0"/>
                  <wp:positionH relativeFrom="column">
                    <wp:posOffset>3176270</wp:posOffset>
                  </wp:positionH>
                  <wp:positionV relativeFrom="paragraph">
                    <wp:posOffset>-541655</wp:posOffset>
                  </wp:positionV>
                  <wp:extent cx="539750" cy="550545"/>
                  <wp:effectExtent l="0" t="0" r="0" b="1905"/>
                  <wp:wrapNone/>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5F2AEA94" wp14:editId="0C761299">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r>
              <w:rPr>
                <w:rFonts w:ascii="Arial" w:eastAsia="Times New Roman" w:hAnsi="Arial" w:cs="Arial"/>
                <w:noProof/>
                <w:sz w:val="20"/>
                <w:szCs w:val="20"/>
              </w:rPr>
              <w:t xml:space="preserve"> </w:t>
            </w:r>
          </w:p>
        </w:tc>
      </w:tr>
    </w:tbl>
    <w:p w:rsidR="00637FA6" w:rsidRPr="001C6640" w:rsidRDefault="00637FA6" w:rsidP="00637FA6">
      <w:pPr>
        <w:spacing w:line="276" w:lineRule="auto"/>
        <w:jc w:val="left"/>
        <w:rPr>
          <w:rFonts w:ascii="Arial" w:hAnsi="Arial" w:cs="Arial"/>
          <w:sz w:val="14"/>
          <w:szCs w:val="18"/>
        </w:rPr>
      </w:pPr>
    </w:p>
    <w:tbl>
      <w:tblPr>
        <w:tblW w:w="10773" w:type="dxa"/>
        <w:jc w:val="center"/>
        <w:tblLook w:val="04A0" w:firstRow="1" w:lastRow="0" w:firstColumn="1" w:lastColumn="0" w:noHBand="0" w:noVBand="1"/>
      </w:tblPr>
      <w:tblGrid>
        <w:gridCol w:w="1985"/>
        <w:gridCol w:w="8788"/>
      </w:tblGrid>
      <w:tr w:rsidR="00637FA6" w:rsidRPr="000F3FFC" w:rsidTr="00E409FF">
        <w:trPr>
          <w:trHeight w:val="2501"/>
          <w:jc w:val="center"/>
        </w:trPr>
        <w:tc>
          <w:tcPr>
            <w:tcW w:w="1985" w:type="dxa"/>
            <w:shd w:val="clear" w:color="auto" w:fill="FFFFFF"/>
            <w:vAlign w:val="center"/>
          </w:tcPr>
          <w:p w:rsidR="00637FA6" w:rsidRPr="000F3FFC" w:rsidRDefault="00637FA6" w:rsidP="00E409FF">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28B44177" wp14:editId="26402974">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637FA6" w:rsidRPr="00A71228" w:rsidRDefault="00637FA6" w:rsidP="00E409FF">
            <w:pPr>
              <w:rPr>
                <w:rFonts w:ascii="Arial" w:hAnsi="Arial" w:cs="Arial"/>
                <w:color w:val="6C6361"/>
                <w:szCs w:val="21"/>
              </w:rPr>
            </w:pPr>
            <w:r w:rsidRPr="00A71228">
              <w:rPr>
                <w:rFonts w:ascii="Arial" w:hAnsi="Arial" w:cs="Arial"/>
                <w:color w:val="6C6361"/>
                <w:szCs w:val="21"/>
              </w:rPr>
              <w:t xml:space="preserve">Steven Gallagher was awarded a first class LL.B.  He was called to the Bar of England and Wales in 2006.  Steven teaches the equity and trusts courses for undergraduate and postgraduate students.  Steven also teaches a course on art, antiquities, cultural heritage and the law on the LLM </w:t>
            </w:r>
            <w:proofErr w:type="spellStart"/>
            <w:r w:rsidRPr="00A71228">
              <w:rPr>
                <w:rFonts w:ascii="Arial" w:hAnsi="Arial" w:cs="Arial"/>
                <w:color w:val="6C6361"/>
                <w:szCs w:val="21"/>
              </w:rPr>
              <w:t>programme</w:t>
            </w:r>
            <w:proofErr w:type="spellEnd"/>
            <w:r w:rsidRPr="00A71228">
              <w:rPr>
                <w:rFonts w:ascii="Arial" w:hAnsi="Arial" w:cs="Arial"/>
                <w:color w:val="6C6361"/>
                <w:szCs w:val="21"/>
              </w:rPr>
              <w:t>.  Steven has presented continuing professional development courses for solicitors in Hong Kong on many topics associated with equity.  Steven’s research interests include equity and the law of trusts, cultural heritage law and legal history.</w:t>
            </w:r>
          </w:p>
        </w:tc>
      </w:tr>
    </w:tbl>
    <w:p w:rsidR="00637FA6" w:rsidRPr="001C6640" w:rsidRDefault="00637FA6" w:rsidP="00637FA6">
      <w:pPr>
        <w:spacing w:line="276" w:lineRule="auto"/>
        <w:jc w:val="left"/>
        <w:rPr>
          <w:rFonts w:ascii="Arial" w:hAnsi="Arial" w:cs="Arial"/>
          <w:sz w:val="14"/>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4819"/>
        <w:gridCol w:w="4212"/>
        <w:gridCol w:w="1742"/>
      </w:tblGrid>
      <w:tr w:rsidR="00637FA6" w:rsidRPr="005768BB" w:rsidTr="00E409FF">
        <w:trPr>
          <w:trHeight w:val="1989"/>
          <w:jc w:val="center"/>
        </w:trPr>
        <w:tc>
          <w:tcPr>
            <w:tcW w:w="10773" w:type="dxa"/>
            <w:gridSpan w:val="3"/>
            <w:tcBorders>
              <w:top w:val="nil"/>
              <w:bottom w:val="nil"/>
            </w:tcBorders>
            <w:shd w:val="clear" w:color="auto" w:fill="FFFFFF" w:themeFill="background1"/>
            <w:vAlign w:val="center"/>
          </w:tcPr>
          <w:p w:rsidR="00637FA6" w:rsidRPr="005768BB" w:rsidRDefault="00637FA6" w:rsidP="00E409FF">
            <w:pPr>
              <w:spacing w:line="276" w:lineRule="auto"/>
              <w:rPr>
                <w:rFonts w:ascii="Arial" w:hAnsi="Arial" w:cs="Arial"/>
                <w:color w:val="6C6361"/>
                <w:sz w:val="18"/>
                <w:szCs w:val="18"/>
              </w:rPr>
            </w:pPr>
            <w:r w:rsidRPr="005768BB">
              <w:rPr>
                <w:rFonts w:ascii="Arial" w:hAnsi="Arial" w:cs="Arial"/>
                <w:color w:val="6C6361"/>
                <w:sz w:val="18"/>
                <w:szCs w:val="18"/>
              </w:rPr>
              <w:t xml:space="preserve">This three-hour seminar will provide an introduction and overview of the use of equity to establish and/or vary interests in property.  The seminar will consider implied trusts and the development of the law of resulting and constructive trusts to </w:t>
            </w:r>
            <w:proofErr w:type="spellStart"/>
            <w:r w:rsidRPr="005768BB">
              <w:rPr>
                <w:rFonts w:ascii="Arial" w:hAnsi="Arial" w:cs="Arial"/>
                <w:color w:val="6C6361"/>
                <w:sz w:val="18"/>
                <w:szCs w:val="18"/>
              </w:rPr>
              <w:t>recognise</w:t>
            </w:r>
            <w:proofErr w:type="spellEnd"/>
            <w:r w:rsidRPr="005768BB">
              <w:rPr>
                <w:rFonts w:ascii="Arial" w:hAnsi="Arial" w:cs="Arial"/>
                <w:color w:val="6C6361"/>
                <w:sz w:val="18"/>
                <w:szCs w:val="18"/>
              </w:rPr>
              <w:t xml:space="preserve"> interests in property.  The seminar will provide an overview of automatic resulting trusts and constructive trusts.  The seminar will consider the circumstances in which automatic resulting trusts arise and how they have been developed.  In particular, we will consider the use of automatic resulting trusts to justify the recognition of </w:t>
            </w:r>
            <w:proofErr w:type="spellStart"/>
            <w:r w:rsidRPr="005768BB">
              <w:rPr>
                <w:rFonts w:ascii="Arial" w:hAnsi="Arial" w:cs="Arial"/>
                <w:b/>
                <w:i/>
                <w:color w:val="6C6361"/>
                <w:sz w:val="18"/>
                <w:szCs w:val="18"/>
              </w:rPr>
              <w:t>Quistclose</w:t>
            </w:r>
            <w:proofErr w:type="spellEnd"/>
            <w:r w:rsidRPr="005768BB">
              <w:rPr>
                <w:rFonts w:ascii="Arial" w:hAnsi="Arial" w:cs="Arial"/>
                <w:color w:val="6C6361"/>
                <w:sz w:val="18"/>
                <w:szCs w:val="18"/>
              </w:rPr>
              <w:t xml:space="preserve"> trusts and contrast these with the use of </w:t>
            </w:r>
            <w:proofErr w:type="spellStart"/>
            <w:r w:rsidRPr="005768BB">
              <w:rPr>
                <w:rFonts w:ascii="Arial" w:hAnsi="Arial" w:cs="Arial"/>
                <w:b/>
                <w:i/>
                <w:color w:val="6C6361"/>
                <w:sz w:val="18"/>
                <w:szCs w:val="18"/>
              </w:rPr>
              <w:t>Romalpa</w:t>
            </w:r>
            <w:proofErr w:type="spellEnd"/>
            <w:r w:rsidRPr="005768BB">
              <w:rPr>
                <w:rFonts w:ascii="Arial" w:hAnsi="Arial" w:cs="Arial"/>
                <w:color w:val="6C6361"/>
                <w:sz w:val="18"/>
                <w:szCs w:val="18"/>
              </w:rPr>
              <w:t xml:space="preserve"> clauses.  The seminar will conclude by considering the use of remedial as opposed to institutional constructive trusts and the categories of constructive trust that may be </w:t>
            </w:r>
            <w:proofErr w:type="spellStart"/>
            <w:r w:rsidRPr="005768BB">
              <w:rPr>
                <w:rFonts w:ascii="Arial" w:hAnsi="Arial" w:cs="Arial"/>
                <w:color w:val="6C6361"/>
                <w:sz w:val="18"/>
                <w:szCs w:val="18"/>
              </w:rPr>
              <w:t>recognised</w:t>
            </w:r>
            <w:proofErr w:type="spellEnd"/>
            <w:r w:rsidRPr="005768BB">
              <w:rPr>
                <w:rFonts w:ascii="Arial" w:hAnsi="Arial" w:cs="Arial"/>
                <w:color w:val="6C6361"/>
                <w:sz w:val="18"/>
                <w:szCs w:val="18"/>
              </w:rPr>
              <w:t xml:space="preserve"> in Hong Kong.  The common intention constructive trust will be considered as and compared to the doctrine of proprietary estoppel.</w:t>
            </w:r>
          </w:p>
        </w:tc>
      </w:tr>
      <w:tr w:rsidR="00637FA6" w:rsidRPr="005768BB" w:rsidTr="00E409FF">
        <w:trPr>
          <w:trHeight w:val="284"/>
          <w:jc w:val="center"/>
        </w:trPr>
        <w:tc>
          <w:tcPr>
            <w:tcW w:w="9031" w:type="dxa"/>
            <w:gridSpan w:val="2"/>
            <w:tcBorders>
              <w:top w:val="nil"/>
              <w:bottom w:val="nil"/>
              <w:right w:val="nil"/>
            </w:tcBorders>
            <w:shd w:val="clear" w:color="auto" w:fill="F0EBE1"/>
            <w:vAlign w:val="center"/>
          </w:tcPr>
          <w:p w:rsidR="00637FA6" w:rsidRPr="005768BB" w:rsidRDefault="00637FA6" w:rsidP="00E409FF">
            <w:pPr>
              <w:spacing w:line="276" w:lineRule="auto"/>
              <w:jc w:val="left"/>
              <w:rPr>
                <w:rFonts w:ascii="Arial" w:hAnsi="Arial" w:cs="Arial"/>
                <w:b/>
                <w:color w:val="524B48"/>
                <w:sz w:val="18"/>
                <w:szCs w:val="18"/>
              </w:rPr>
            </w:pPr>
            <w:r w:rsidRPr="005768BB">
              <w:rPr>
                <w:rFonts w:ascii="Arial" w:hAnsi="Arial" w:cs="Arial"/>
                <w:b/>
                <w:color w:val="524B48"/>
                <w:sz w:val="18"/>
                <w:szCs w:val="18"/>
              </w:rPr>
              <w:t>Some of the topics considered in this seminar include:</w:t>
            </w:r>
          </w:p>
        </w:tc>
        <w:tc>
          <w:tcPr>
            <w:tcW w:w="1742" w:type="dxa"/>
            <w:vMerge w:val="restart"/>
            <w:tcBorders>
              <w:top w:val="nil"/>
              <w:left w:val="nil"/>
              <w:bottom w:val="nil"/>
            </w:tcBorders>
            <w:shd w:val="clear" w:color="auto" w:fill="FFFFFF" w:themeFill="background1"/>
            <w:vAlign w:val="center"/>
          </w:tcPr>
          <w:p w:rsidR="00637FA6" w:rsidRPr="005768BB" w:rsidRDefault="00637FA6" w:rsidP="00E409FF">
            <w:pPr>
              <w:spacing w:line="276" w:lineRule="auto"/>
              <w:jc w:val="center"/>
              <w:rPr>
                <w:rFonts w:ascii="Arial" w:hAnsi="Arial" w:cs="Arial"/>
                <w:b/>
                <w:color w:val="524B48"/>
                <w:sz w:val="18"/>
                <w:szCs w:val="18"/>
              </w:rPr>
            </w:pPr>
            <w:r w:rsidRPr="005768BB">
              <w:rPr>
                <w:rFonts w:ascii="Arial" w:hAnsi="Arial" w:cs="Arial"/>
                <w:noProof/>
                <w:color w:val="6C6361"/>
                <w:sz w:val="18"/>
                <w:szCs w:val="18"/>
              </w:rPr>
              <w:drawing>
                <wp:inline distT="0" distB="0" distL="0" distR="0" wp14:anchorId="06831BF7" wp14:editId="6ED47785">
                  <wp:extent cx="892800" cy="1022400"/>
                  <wp:effectExtent l="0" t="0" r="317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22400"/>
                          </a:xfrm>
                          <a:prstGeom prst="rect">
                            <a:avLst/>
                          </a:prstGeom>
                          <a:noFill/>
                          <a:ln>
                            <a:noFill/>
                          </a:ln>
                        </pic:spPr>
                      </pic:pic>
                    </a:graphicData>
                  </a:graphic>
                </wp:inline>
              </w:drawing>
            </w:r>
          </w:p>
        </w:tc>
      </w:tr>
      <w:tr w:rsidR="00637FA6" w:rsidRPr="005768BB" w:rsidTr="00E409FF">
        <w:trPr>
          <w:trHeight w:val="1641"/>
          <w:jc w:val="center"/>
        </w:trPr>
        <w:tc>
          <w:tcPr>
            <w:tcW w:w="4819" w:type="dxa"/>
            <w:tcBorders>
              <w:top w:val="nil"/>
              <w:bottom w:val="nil"/>
              <w:right w:val="nil"/>
            </w:tcBorders>
            <w:shd w:val="clear" w:color="auto" w:fill="FFFFFF" w:themeFill="background1"/>
            <w:vAlign w:val="center"/>
          </w:tcPr>
          <w:p w:rsidR="00637FA6" w:rsidRPr="005768BB" w:rsidRDefault="00637FA6" w:rsidP="00E409FF">
            <w:pPr>
              <w:pStyle w:val="ListParagraph"/>
              <w:numPr>
                <w:ilvl w:val="0"/>
                <w:numId w:val="2"/>
              </w:numPr>
              <w:spacing w:line="276" w:lineRule="auto"/>
              <w:jc w:val="left"/>
              <w:rPr>
                <w:rFonts w:ascii="Arial" w:hAnsi="Arial" w:cs="Arial"/>
                <w:color w:val="6C6361"/>
                <w:sz w:val="18"/>
                <w:szCs w:val="18"/>
              </w:rPr>
            </w:pPr>
            <w:r w:rsidRPr="005768BB">
              <w:rPr>
                <w:rFonts w:ascii="Arial" w:hAnsi="Arial" w:cs="Arial"/>
                <w:color w:val="6C6361"/>
                <w:sz w:val="18"/>
                <w:szCs w:val="18"/>
              </w:rPr>
              <w:t>Implied trusts;</w:t>
            </w:r>
          </w:p>
          <w:p w:rsidR="00637FA6" w:rsidRPr="005768BB" w:rsidRDefault="00637FA6" w:rsidP="00E409FF">
            <w:pPr>
              <w:pStyle w:val="ListParagraph"/>
              <w:numPr>
                <w:ilvl w:val="0"/>
                <w:numId w:val="2"/>
              </w:numPr>
              <w:spacing w:line="276" w:lineRule="auto"/>
              <w:jc w:val="left"/>
              <w:rPr>
                <w:rFonts w:ascii="Arial" w:hAnsi="Arial" w:cs="Arial"/>
                <w:color w:val="6C6361"/>
                <w:sz w:val="18"/>
                <w:szCs w:val="18"/>
              </w:rPr>
            </w:pPr>
            <w:r w:rsidRPr="005768BB">
              <w:rPr>
                <w:rFonts w:ascii="Arial" w:hAnsi="Arial" w:cs="Arial"/>
                <w:color w:val="6C6361"/>
                <w:sz w:val="18"/>
                <w:szCs w:val="18"/>
              </w:rPr>
              <w:t>The origins of the doctrines of resulting trusts and constructive trusts;</w:t>
            </w:r>
          </w:p>
          <w:p w:rsidR="00637FA6" w:rsidRPr="005768BB" w:rsidRDefault="00637FA6" w:rsidP="00E409FF">
            <w:pPr>
              <w:pStyle w:val="ListParagraph"/>
              <w:numPr>
                <w:ilvl w:val="0"/>
                <w:numId w:val="2"/>
              </w:numPr>
              <w:spacing w:line="276" w:lineRule="auto"/>
              <w:jc w:val="left"/>
              <w:rPr>
                <w:rFonts w:ascii="Arial" w:hAnsi="Arial" w:cs="Arial"/>
                <w:color w:val="6C6361"/>
                <w:sz w:val="18"/>
                <w:szCs w:val="18"/>
              </w:rPr>
            </w:pPr>
            <w:r w:rsidRPr="005768BB">
              <w:rPr>
                <w:rFonts w:ascii="Arial" w:hAnsi="Arial" w:cs="Arial"/>
                <w:color w:val="6C6361"/>
                <w:sz w:val="18"/>
                <w:szCs w:val="18"/>
              </w:rPr>
              <w:t>The automatic resulting trust;</w:t>
            </w:r>
          </w:p>
          <w:p w:rsidR="00637FA6" w:rsidRPr="005768BB" w:rsidRDefault="00637FA6" w:rsidP="00E409FF">
            <w:pPr>
              <w:pStyle w:val="ListParagraph"/>
              <w:numPr>
                <w:ilvl w:val="0"/>
                <w:numId w:val="2"/>
              </w:numPr>
              <w:spacing w:line="276" w:lineRule="auto"/>
              <w:jc w:val="left"/>
              <w:rPr>
                <w:rFonts w:ascii="Arial" w:hAnsi="Arial" w:cs="Arial"/>
                <w:color w:val="6C6361"/>
                <w:sz w:val="18"/>
                <w:szCs w:val="18"/>
              </w:rPr>
            </w:pPr>
            <w:proofErr w:type="spellStart"/>
            <w:r w:rsidRPr="005768BB">
              <w:rPr>
                <w:rFonts w:ascii="Arial" w:hAnsi="Arial" w:cs="Arial"/>
                <w:b/>
                <w:i/>
                <w:color w:val="6C6361"/>
                <w:sz w:val="18"/>
                <w:szCs w:val="18"/>
              </w:rPr>
              <w:t>Quistclose</w:t>
            </w:r>
            <w:proofErr w:type="spellEnd"/>
            <w:r w:rsidRPr="005768BB">
              <w:rPr>
                <w:rFonts w:ascii="Arial" w:hAnsi="Arial" w:cs="Arial"/>
                <w:color w:val="6C6361"/>
                <w:sz w:val="18"/>
                <w:szCs w:val="18"/>
              </w:rPr>
              <w:t xml:space="preserve"> trusts;</w:t>
            </w:r>
          </w:p>
          <w:p w:rsidR="00637FA6" w:rsidRPr="005768BB" w:rsidRDefault="00637FA6" w:rsidP="00E409FF">
            <w:pPr>
              <w:pStyle w:val="ListParagraph"/>
              <w:numPr>
                <w:ilvl w:val="0"/>
                <w:numId w:val="2"/>
              </w:numPr>
              <w:spacing w:line="276" w:lineRule="auto"/>
              <w:jc w:val="left"/>
              <w:rPr>
                <w:rFonts w:ascii="Arial" w:hAnsi="Arial" w:cs="Arial"/>
                <w:color w:val="6C6361"/>
                <w:sz w:val="18"/>
                <w:szCs w:val="18"/>
              </w:rPr>
            </w:pPr>
            <w:proofErr w:type="spellStart"/>
            <w:r w:rsidRPr="005768BB">
              <w:rPr>
                <w:rFonts w:ascii="Arial" w:hAnsi="Arial" w:cs="Arial"/>
                <w:b/>
                <w:i/>
                <w:color w:val="6C6361"/>
                <w:sz w:val="18"/>
                <w:szCs w:val="18"/>
              </w:rPr>
              <w:t>Romalpa</w:t>
            </w:r>
            <w:proofErr w:type="spellEnd"/>
            <w:r w:rsidRPr="005768BB">
              <w:rPr>
                <w:rFonts w:ascii="Arial" w:hAnsi="Arial" w:cs="Arial"/>
                <w:color w:val="6C6361"/>
                <w:sz w:val="18"/>
                <w:szCs w:val="18"/>
              </w:rPr>
              <w:t xml:space="preserve"> clauses;</w:t>
            </w:r>
          </w:p>
        </w:tc>
        <w:tc>
          <w:tcPr>
            <w:tcW w:w="4212" w:type="dxa"/>
            <w:tcBorders>
              <w:top w:val="nil"/>
              <w:left w:val="nil"/>
              <w:bottom w:val="nil"/>
              <w:right w:val="nil"/>
            </w:tcBorders>
            <w:shd w:val="clear" w:color="auto" w:fill="FFFFFF" w:themeFill="background1"/>
            <w:vAlign w:val="center"/>
          </w:tcPr>
          <w:p w:rsidR="00637FA6" w:rsidRDefault="00637FA6" w:rsidP="00E409FF">
            <w:pPr>
              <w:pStyle w:val="ListParagraph"/>
              <w:numPr>
                <w:ilvl w:val="0"/>
                <w:numId w:val="2"/>
              </w:numPr>
              <w:spacing w:line="276" w:lineRule="auto"/>
              <w:jc w:val="left"/>
              <w:rPr>
                <w:rFonts w:ascii="Arial" w:hAnsi="Arial" w:cs="Arial"/>
                <w:color w:val="6C6361"/>
                <w:sz w:val="18"/>
                <w:szCs w:val="18"/>
              </w:rPr>
            </w:pPr>
            <w:r w:rsidRPr="005768BB">
              <w:rPr>
                <w:rFonts w:ascii="Arial" w:hAnsi="Arial" w:cs="Arial"/>
                <w:color w:val="6C6361"/>
                <w:sz w:val="18"/>
                <w:szCs w:val="18"/>
              </w:rPr>
              <w:t>Remedial and institutional constructive trusts;</w:t>
            </w:r>
          </w:p>
          <w:p w:rsidR="00637FA6" w:rsidRPr="005768BB" w:rsidRDefault="00637FA6" w:rsidP="00E409FF">
            <w:pPr>
              <w:pStyle w:val="ListParagraph"/>
              <w:numPr>
                <w:ilvl w:val="0"/>
                <w:numId w:val="2"/>
              </w:numPr>
              <w:spacing w:line="276" w:lineRule="auto"/>
              <w:jc w:val="left"/>
              <w:rPr>
                <w:rFonts w:ascii="Arial" w:hAnsi="Arial" w:cs="Arial"/>
                <w:color w:val="6C6361"/>
                <w:sz w:val="18"/>
                <w:szCs w:val="18"/>
              </w:rPr>
            </w:pPr>
            <w:r w:rsidRPr="005768BB">
              <w:rPr>
                <w:rFonts w:ascii="Arial" w:hAnsi="Arial" w:cs="Arial"/>
                <w:color w:val="6C6361"/>
                <w:sz w:val="18"/>
                <w:szCs w:val="18"/>
              </w:rPr>
              <w:t xml:space="preserve">The categories of constructive trust </w:t>
            </w:r>
            <w:proofErr w:type="spellStart"/>
            <w:r w:rsidRPr="005768BB">
              <w:rPr>
                <w:rFonts w:ascii="Arial" w:hAnsi="Arial" w:cs="Arial"/>
                <w:color w:val="6C6361"/>
                <w:sz w:val="18"/>
                <w:szCs w:val="18"/>
              </w:rPr>
              <w:t>recognised</w:t>
            </w:r>
            <w:proofErr w:type="spellEnd"/>
            <w:r w:rsidRPr="005768BB">
              <w:rPr>
                <w:rFonts w:ascii="Arial" w:hAnsi="Arial" w:cs="Arial"/>
                <w:color w:val="6C6361"/>
                <w:sz w:val="18"/>
                <w:szCs w:val="18"/>
              </w:rPr>
              <w:t xml:space="preserve"> in Hong Kong;</w:t>
            </w:r>
          </w:p>
          <w:p w:rsidR="00637FA6" w:rsidRPr="005768BB" w:rsidRDefault="00637FA6" w:rsidP="00E409FF">
            <w:pPr>
              <w:pStyle w:val="ListParagraph"/>
              <w:numPr>
                <w:ilvl w:val="0"/>
                <w:numId w:val="2"/>
              </w:numPr>
              <w:spacing w:line="276" w:lineRule="auto"/>
              <w:jc w:val="left"/>
              <w:rPr>
                <w:rFonts w:ascii="Arial" w:hAnsi="Arial" w:cs="Arial"/>
                <w:color w:val="6C6361"/>
                <w:sz w:val="18"/>
                <w:szCs w:val="18"/>
              </w:rPr>
            </w:pPr>
            <w:r w:rsidRPr="005768BB">
              <w:rPr>
                <w:rFonts w:ascii="Arial" w:hAnsi="Arial" w:cs="Arial"/>
                <w:color w:val="6C6361"/>
                <w:sz w:val="18"/>
                <w:szCs w:val="18"/>
              </w:rPr>
              <w:t>Common intention constructive trusts and proprietary estoppel;</w:t>
            </w:r>
          </w:p>
          <w:p w:rsidR="00637FA6" w:rsidRPr="005768BB" w:rsidRDefault="00637FA6" w:rsidP="00E409FF">
            <w:pPr>
              <w:pStyle w:val="ListParagraph"/>
              <w:numPr>
                <w:ilvl w:val="0"/>
                <w:numId w:val="2"/>
              </w:numPr>
              <w:spacing w:line="276" w:lineRule="auto"/>
              <w:jc w:val="left"/>
              <w:rPr>
                <w:rFonts w:ascii="Arial" w:hAnsi="Arial" w:cs="Arial"/>
                <w:color w:val="6C6361"/>
                <w:sz w:val="18"/>
                <w:szCs w:val="18"/>
              </w:rPr>
            </w:pPr>
            <w:r w:rsidRPr="005768BB">
              <w:rPr>
                <w:rFonts w:ascii="Arial" w:hAnsi="Arial" w:cs="Arial"/>
                <w:color w:val="6C6361"/>
                <w:sz w:val="18"/>
                <w:szCs w:val="18"/>
              </w:rPr>
              <w:t>The disputed issues in this area of the law.</w:t>
            </w:r>
          </w:p>
        </w:tc>
        <w:tc>
          <w:tcPr>
            <w:tcW w:w="1742" w:type="dxa"/>
            <w:vMerge/>
            <w:tcBorders>
              <w:left w:val="nil"/>
              <w:bottom w:val="nil"/>
            </w:tcBorders>
            <w:shd w:val="clear" w:color="auto" w:fill="FFFFFF" w:themeFill="background1"/>
            <w:vAlign w:val="center"/>
          </w:tcPr>
          <w:p w:rsidR="00637FA6" w:rsidRPr="001C6640" w:rsidRDefault="00637FA6" w:rsidP="00E409FF">
            <w:pPr>
              <w:spacing w:line="276" w:lineRule="auto"/>
              <w:jc w:val="center"/>
              <w:rPr>
                <w:rFonts w:ascii="Arial" w:hAnsi="Arial" w:cs="Arial"/>
                <w:color w:val="6C6361"/>
                <w:sz w:val="18"/>
                <w:szCs w:val="18"/>
              </w:rPr>
            </w:pPr>
          </w:p>
        </w:tc>
      </w:tr>
    </w:tbl>
    <w:p w:rsidR="00637FA6" w:rsidRPr="00637FA6" w:rsidRDefault="00637FA6" w:rsidP="00680C81">
      <w:pPr>
        <w:spacing w:line="276" w:lineRule="auto"/>
        <w:rPr>
          <w:rFonts w:ascii="Arial" w:hAnsi="Arial" w:cs="Arial"/>
          <w:sz w:val="14"/>
          <w:szCs w:val="12"/>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3685"/>
        <w:gridCol w:w="1701"/>
        <w:gridCol w:w="2370"/>
        <w:gridCol w:w="1315"/>
      </w:tblGrid>
      <w:tr w:rsidR="00637FA6" w:rsidRPr="00320F79" w:rsidTr="00D16A04">
        <w:trPr>
          <w:trHeight w:val="340"/>
          <w:jc w:val="center"/>
        </w:trPr>
        <w:tc>
          <w:tcPr>
            <w:tcW w:w="1701" w:type="dxa"/>
            <w:tcBorders>
              <w:top w:val="nil"/>
              <w:left w:val="nil"/>
              <w:bottom w:val="single" w:sz="12" w:space="0" w:color="FFFFFF"/>
            </w:tcBorders>
            <w:shd w:val="clear" w:color="auto" w:fill="F0EBE1"/>
            <w:vAlign w:val="center"/>
          </w:tcPr>
          <w:p w:rsidR="00637FA6" w:rsidRPr="00320F79" w:rsidRDefault="00637FA6" w:rsidP="00637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tcBorders>
              <w:top w:val="nil"/>
              <w:bottom w:val="single" w:sz="12" w:space="0" w:color="F0EBE1"/>
            </w:tcBorders>
            <w:shd w:val="clear" w:color="auto" w:fill="FFFFFF"/>
            <w:vAlign w:val="center"/>
          </w:tcPr>
          <w:p w:rsidR="00637FA6" w:rsidRPr="00320F79" w:rsidRDefault="00637FA6" w:rsidP="00637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EVT000000319</w:t>
            </w:r>
          </w:p>
        </w:tc>
        <w:tc>
          <w:tcPr>
            <w:tcW w:w="1701" w:type="dxa"/>
            <w:tcBorders>
              <w:top w:val="nil"/>
              <w:bottom w:val="single" w:sz="12" w:space="0" w:color="FFFFFF"/>
            </w:tcBorders>
            <w:shd w:val="clear" w:color="auto" w:fill="F0EBE1"/>
            <w:vAlign w:val="center"/>
          </w:tcPr>
          <w:p w:rsidR="00637FA6" w:rsidRPr="00320F79" w:rsidRDefault="00637FA6" w:rsidP="00637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637FA6" w:rsidRPr="00320F79" w:rsidRDefault="00637FA6" w:rsidP="00637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637FA6" w:rsidRPr="00320F79" w:rsidTr="00D16A04">
        <w:trPr>
          <w:trHeight w:val="340"/>
          <w:jc w:val="center"/>
        </w:trPr>
        <w:tc>
          <w:tcPr>
            <w:tcW w:w="1701" w:type="dxa"/>
            <w:tcBorders>
              <w:top w:val="single" w:sz="12" w:space="0" w:color="FFFFFF"/>
              <w:left w:val="nil"/>
              <w:bottom w:val="single" w:sz="12" w:space="0" w:color="FFFFFF"/>
            </w:tcBorders>
            <w:shd w:val="clear" w:color="auto" w:fill="F0EBE1"/>
            <w:vAlign w:val="center"/>
          </w:tcPr>
          <w:p w:rsidR="00637FA6" w:rsidRPr="00320F79" w:rsidRDefault="00637FA6" w:rsidP="00637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tcBorders>
              <w:top w:val="single" w:sz="12" w:space="0" w:color="F0EBE1"/>
              <w:bottom w:val="single" w:sz="12" w:space="0" w:color="F0EBE1"/>
            </w:tcBorders>
            <w:shd w:val="clear" w:color="auto" w:fill="FFFFFF"/>
            <w:vAlign w:val="center"/>
          </w:tcPr>
          <w:p w:rsidR="00637FA6" w:rsidRPr="00320F79" w:rsidRDefault="00637FA6" w:rsidP="00637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27 October 2020 (Tuesday)</w:t>
            </w:r>
          </w:p>
        </w:tc>
        <w:tc>
          <w:tcPr>
            <w:tcW w:w="1701" w:type="dxa"/>
            <w:tcBorders>
              <w:top w:val="single" w:sz="12" w:space="0" w:color="FFFFFF"/>
              <w:bottom w:val="single" w:sz="12" w:space="0" w:color="FFFFFF"/>
            </w:tcBorders>
            <w:shd w:val="clear" w:color="auto" w:fill="F0EBE1"/>
            <w:vAlign w:val="center"/>
          </w:tcPr>
          <w:p w:rsidR="00637FA6" w:rsidRPr="00320F79" w:rsidRDefault="00637FA6" w:rsidP="00637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637FA6" w:rsidRPr="00320F79" w:rsidRDefault="00637FA6" w:rsidP="00637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637FA6" w:rsidRPr="00320F79" w:rsidTr="00D16A04">
        <w:trPr>
          <w:trHeight w:val="340"/>
          <w:jc w:val="center"/>
        </w:trPr>
        <w:tc>
          <w:tcPr>
            <w:tcW w:w="1701" w:type="dxa"/>
            <w:tcBorders>
              <w:top w:val="single" w:sz="12" w:space="0" w:color="FFFFFF"/>
              <w:left w:val="nil"/>
              <w:bottom w:val="single" w:sz="12" w:space="0" w:color="FFFFFF"/>
            </w:tcBorders>
            <w:shd w:val="clear" w:color="auto" w:fill="F0EBE1"/>
            <w:vAlign w:val="center"/>
          </w:tcPr>
          <w:p w:rsidR="00637FA6" w:rsidRPr="00320F79" w:rsidRDefault="00637FA6" w:rsidP="00637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tcBorders>
              <w:top w:val="single" w:sz="12" w:space="0" w:color="F0EBE1"/>
              <w:bottom w:val="single" w:sz="12" w:space="0" w:color="F0EBE1"/>
            </w:tcBorders>
            <w:shd w:val="clear" w:color="auto" w:fill="FFFFFF"/>
            <w:vAlign w:val="center"/>
          </w:tcPr>
          <w:p w:rsidR="00637FA6" w:rsidRPr="00320F79" w:rsidRDefault="00637FA6" w:rsidP="00637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 xml:space="preserve">:30 - </w:t>
            </w:r>
            <w:r>
              <w:rPr>
                <w:rFonts w:ascii="Arial" w:hAnsi="Arial" w:cs="Arial"/>
                <w:b/>
                <w:color w:val="6C6361"/>
                <w:sz w:val="20"/>
                <w:szCs w:val="20"/>
              </w:rPr>
              <w:t>17</w:t>
            </w:r>
            <w:r w:rsidRPr="00320F79">
              <w:rPr>
                <w:rFonts w:ascii="Arial" w:hAnsi="Arial" w:cs="Arial"/>
                <w:b/>
                <w:color w:val="6C6361"/>
                <w:sz w:val="20"/>
                <w:szCs w:val="20"/>
              </w:rPr>
              <w:t>:45</w:t>
            </w:r>
          </w:p>
          <w:p w:rsidR="00637FA6" w:rsidRPr="00320F79" w:rsidRDefault="00637FA6" w:rsidP="00637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637FA6" w:rsidRPr="00320F79" w:rsidRDefault="00637FA6" w:rsidP="00637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637FA6" w:rsidRPr="00E843DA" w:rsidRDefault="00637FA6" w:rsidP="00637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3.0 CPD Points</w:t>
            </w:r>
          </w:p>
        </w:tc>
      </w:tr>
      <w:tr w:rsidR="004502F7" w:rsidRPr="00320F79" w:rsidTr="0053000F">
        <w:trPr>
          <w:trHeight w:val="397"/>
          <w:jc w:val="center"/>
        </w:trPr>
        <w:tc>
          <w:tcPr>
            <w:tcW w:w="1701" w:type="dxa"/>
            <w:tcBorders>
              <w:top w:val="single" w:sz="12" w:space="0" w:color="FFFFFF"/>
              <w:left w:val="nil"/>
              <w:bottom w:val="nil"/>
            </w:tcBorders>
            <w:shd w:val="clear" w:color="auto" w:fill="F0EBE1"/>
            <w:vAlign w:val="center"/>
          </w:tcPr>
          <w:p w:rsidR="004502F7" w:rsidRPr="00320F79" w:rsidRDefault="004502F7" w:rsidP="00450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3685" w:type="dxa"/>
            <w:tcBorders>
              <w:top w:val="single" w:sz="12" w:space="0" w:color="F0EBE1"/>
              <w:bottom w:val="nil"/>
            </w:tcBorders>
            <w:shd w:val="clear" w:color="auto" w:fill="FFFFFF"/>
            <w:vAlign w:val="center"/>
          </w:tcPr>
          <w:p w:rsidR="004502F7" w:rsidRPr="00320F79" w:rsidRDefault="004502F7" w:rsidP="00450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b/>
                <w:color w:val="6C6361"/>
                <w:sz w:val="20"/>
                <w:szCs w:val="20"/>
              </w:rPr>
              <w:t>Online</w:t>
            </w:r>
            <w:r w:rsidRPr="00093BBD">
              <w:rPr>
                <w:rFonts w:ascii="Arial" w:hAnsi="Arial" w:cs="Arial"/>
                <w:color w:val="6C6361"/>
                <w:sz w:val="20"/>
                <w:szCs w:val="20"/>
              </w:rPr>
              <w:t xml:space="preserve"> via Zoom</w:t>
            </w:r>
          </w:p>
        </w:tc>
        <w:tc>
          <w:tcPr>
            <w:tcW w:w="1701" w:type="dxa"/>
            <w:tcBorders>
              <w:top w:val="single" w:sz="12" w:space="0" w:color="FFFFFF"/>
              <w:bottom w:val="nil"/>
            </w:tcBorders>
            <w:shd w:val="clear" w:color="auto" w:fill="F0EBE1"/>
            <w:vAlign w:val="center"/>
          </w:tcPr>
          <w:p w:rsidR="004502F7" w:rsidRPr="003A2A41" w:rsidRDefault="004502F7" w:rsidP="00450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4502F7" w:rsidRPr="003A2A41" w:rsidRDefault="004502F7" w:rsidP="00450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70" w:type="dxa"/>
            <w:tcBorders>
              <w:top w:val="single" w:sz="12" w:space="0" w:color="F0EBE1"/>
              <w:bottom w:val="nil"/>
              <w:right w:val="nil"/>
            </w:tcBorders>
            <w:shd w:val="clear" w:color="auto" w:fill="FFFFFF"/>
            <w:vAlign w:val="center"/>
          </w:tcPr>
          <w:p w:rsidR="004502F7" w:rsidRPr="003A2A41" w:rsidRDefault="004502F7" w:rsidP="00450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4" w:history="1">
              <w:r w:rsidRPr="003A2A41">
                <w:rPr>
                  <w:rStyle w:val="Hyperlink"/>
                  <w:rFonts w:ascii="Arial" w:eastAsia="Times New Roman" w:hAnsi="Arial" w:cs="Arial"/>
                  <w:b/>
                  <w:noProof/>
                  <w:color w:val="6C6361"/>
                  <w:sz w:val="20"/>
                  <w:szCs w:val="20"/>
                  <w:u w:val="none"/>
                </w:rPr>
                <w:t>Contact Us</w:t>
              </w:r>
            </w:hyperlink>
          </w:p>
          <w:p w:rsidR="004502F7" w:rsidRPr="003A2A41" w:rsidRDefault="004502F7" w:rsidP="00450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15" w:type="dxa"/>
            <w:tcBorders>
              <w:top w:val="single" w:sz="12" w:space="0" w:color="F0EBE1"/>
              <w:left w:val="nil"/>
              <w:bottom w:val="nil"/>
              <w:right w:val="nil"/>
            </w:tcBorders>
            <w:shd w:val="clear" w:color="auto" w:fill="FFFFFF"/>
            <w:vAlign w:val="center"/>
          </w:tcPr>
          <w:p w:rsidR="004502F7" w:rsidRPr="00156567" w:rsidRDefault="004502F7" w:rsidP="00450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24C74AA0" wp14:editId="0C869C44">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680C81" w:rsidRDefault="00214BC6" w:rsidP="00680C81">
      <w:pPr>
        <w:rPr>
          <w:sz w:val="2"/>
          <w:szCs w:val="2"/>
        </w:rPr>
      </w:pPr>
    </w:p>
    <w:sectPr w:rsidR="00214BC6" w:rsidRPr="00680C81" w:rsidSect="000F34E0">
      <w:headerReference w:type="default" r:id="rId16"/>
      <w:footerReference w:type="default" r:id="rId17"/>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F12" w:rsidRDefault="00034F12" w:rsidP="00546556">
      <w:r>
        <w:separator/>
      </w:r>
    </w:p>
  </w:endnote>
  <w:endnote w:type="continuationSeparator" w:id="0">
    <w:p w:rsidR="00034F12" w:rsidRDefault="00034F12"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F12" w:rsidRDefault="00034F12" w:rsidP="00546556">
      <w:r>
        <w:separator/>
      </w:r>
    </w:p>
  </w:footnote>
  <w:footnote w:type="continuationSeparator" w:id="0">
    <w:p w:rsidR="00034F12" w:rsidRDefault="00034F12"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isplayBackgroundShape/>
  <w:gutterAtTop/>
  <w:proofState w:spelling="clean" w:grammar="clean"/>
  <w:documentProtection w:edit="forms" w:enforcement="1" w:cryptProviderType="rsaAES" w:cryptAlgorithmClass="hash" w:cryptAlgorithmType="typeAny" w:cryptAlgorithmSid="14" w:cryptSpinCount="100000" w:hash="kN6tyjrZ8c4njIiGSDbFZHW2XoUS6egk7GVrxLNBMiQS48SEYv6Kjz+GG+vj6tqhku6nBaEtMscailbQUKFaBQ==" w:salt="5lhLK0ZYcL1SMXpfmN/y+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4F1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9EB"/>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3FED"/>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37FA6"/>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05C"/>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39CE"/>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3D6A"/>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4E6C"/>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BD0"/>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2B8F"/>
    <w:rsid w:val="00B23A63"/>
    <w:rsid w:val="00B23AE3"/>
    <w:rsid w:val="00B242FA"/>
    <w:rsid w:val="00B24C3D"/>
    <w:rsid w:val="00B26A6C"/>
    <w:rsid w:val="00B27364"/>
    <w:rsid w:val="00B27C7E"/>
    <w:rsid w:val="00B300C6"/>
    <w:rsid w:val="00B30963"/>
    <w:rsid w:val="00B32A1C"/>
    <w:rsid w:val="00B32E33"/>
    <w:rsid w:val="00B3469A"/>
    <w:rsid w:val="00B3728C"/>
    <w:rsid w:val="00B4015E"/>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A14"/>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3FA2"/>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pd.hk/evt000000319/" TargetMode="External"/><Relationship Id="rId14" Type="http://schemas.openxmlformats.org/officeDocument/2006/relationships/hyperlink" Target="mailto:marketing@profectional.com"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BDE71-C55B-4828-894C-581C84984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399</Words>
  <Characters>2276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CPD Course: Informal Interests in Property (1): Presuming Interests and Illegality</vt:lpstr>
    </vt:vector>
  </TitlesOfParts>
  <Manager>Tyrone Tsang</Manager>
  <Company>The Profectional Company Limited</Company>
  <LinksUpToDate>false</LinksUpToDate>
  <CharactersWithSpaces>2670</CharactersWithSpaces>
  <SharedDoc>false</SharedDoc>
  <HyperlinkBase>http://download.profectional.com/events/EVT000000319.docx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Informal Interests in Property (2): Automatic Resulting Trusts (Including Quistclose Trusts and Romalpa Clauses) and Constructive Trusts</dc:title>
  <dc:subject>CPD Course: Informal Interests in Property (2): Automatic Resulting Trusts (Including Quistclose Trusts and Romalpa Clauses) and Constructive Trusts</dc:subject>
  <dc:creator>The Profectional Company Limited</dc:creator>
  <cp:keywords>Profectional; Kornerstone; CPD; CPT; CLE; CE; RME; Steven Gallagher; Associate Professor of Practice in Law; Associate Dean (Teaching &amp; Learning);The Faculty of Law; The Chinese University of Hong Kong</cp:keywords>
  <cp:lastModifiedBy>Tyrone Tsang</cp:lastModifiedBy>
  <cp:revision>59</cp:revision>
  <cp:lastPrinted>2020-10-23T07:50:00Z</cp:lastPrinted>
  <dcterms:created xsi:type="dcterms:W3CDTF">2017-01-12T02:41:00Z</dcterms:created>
  <dcterms:modified xsi:type="dcterms:W3CDTF">2020-10-23T07:50:00Z</dcterms:modified>
</cp:coreProperties>
</file>