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2E8" w:rsidRPr="00BB12E8" w:rsidRDefault="00BB12E8" w:rsidP="00BB12E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B12E8" w:rsidRPr="00523A64" w:rsidTr="00677171">
        <w:trPr>
          <w:trHeight w:val="3119"/>
          <w:jc w:val="center"/>
        </w:trPr>
        <w:tc>
          <w:tcPr>
            <w:tcW w:w="4820" w:type="dxa"/>
            <w:shd w:val="clear" w:color="auto" w:fill="FFFFFF"/>
            <w:vAlign w:val="center"/>
          </w:tcPr>
          <w:p w:rsidR="00BB12E8" w:rsidRPr="001A3018" w:rsidRDefault="00BB12E8" w:rsidP="00677171">
            <w:pPr>
              <w:jc w:val="center"/>
              <w:rPr>
                <w:rFonts w:ascii="Arial" w:hAnsi="Arial" w:cs="Arial"/>
                <w:b/>
                <w:bCs/>
                <w:color w:val="524B48"/>
                <w:sz w:val="4"/>
                <w:szCs w:val="4"/>
              </w:rPr>
            </w:pPr>
          </w:p>
          <w:p w:rsidR="00BB12E8" w:rsidRDefault="00BB12E8" w:rsidP="00677171">
            <w:pPr>
              <w:jc w:val="center"/>
              <w:rPr>
                <w:rStyle w:val="Hyperlink"/>
                <w:rFonts w:ascii="Arial" w:hAnsi="Arial" w:cs="Arial"/>
                <w:b/>
                <w:bCs/>
                <w:color w:val="524B48"/>
                <w:sz w:val="32"/>
                <w:szCs w:val="32"/>
                <w:u w:val="none"/>
              </w:rPr>
            </w:pPr>
            <w:r w:rsidRPr="00CF685C">
              <w:fldChar w:fldCharType="begin"/>
            </w:r>
            <w:r>
              <w:instrText>HYPERLINK "http://cpd.hk/evt000000328/"</w:instrText>
            </w:r>
            <w:r w:rsidRPr="00CF685C">
              <w:fldChar w:fldCharType="separate"/>
            </w:r>
            <w:r>
              <w:rPr>
                <w:rStyle w:val="Hyperlink"/>
                <w:rFonts w:ascii="Arial" w:hAnsi="Arial" w:cs="Arial"/>
                <w:b/>
                <w:bCs/>
                <w:color w:val="524B48"/>
                <w:sz w:val="32"/>
                <w:szCs w:val="32"/>
                <w:u w:val="none"/>
              </w:rPr>
              <w:t>Intention in</w:t>
            </w:r>
          </w:p>
          <w:p w:rsidR="00BB12E8" w:rsidRPr="00CF685C" w:rsidRDefault="00BB12E8" w:rsidP="0067717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Formation</w:t>
            </w:r>
          </w:p>
          <w:p w:rsidR="00BB12E8" w:rsidRPr="00C65AFD" w:rsidRDefault="00BB12E8" w:rsidP="00677171">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B12E8" w:rsidRPr="00C65AFD" w:rsidRDefault="00BB12E8" w:rsidP="00677171">
            <w:pPr>
              <w:jc w:val="center"/>
              <w:rPr>
                <w:rFonts w:ascii="Arial" w:hAnsi="Arial" w:cs="Arial"/>
                <w:i/>
                <w:color w:val="6C6361"/>
                <w:sz w:val="24"/>
                <w:szCs w:val="24"/>
              </w:rPr>
            </w:pPr>
            <w:r w:rsidRPr="00C65AFD">
              <w:rPr>
                <w:rFonts w:ascii="Arial" w:hAnsi="Arial" w:cs="Arial"/>
                <w:i/>
                <w:color w:val="6C6361"/>
                <w:sz w:val="24"/>
                <w:szCs w:val="24"/>
              </w:rPr>
              <w:t>by</w:t>
            </w:r>
          </w:p>
          <w:p w:rsidR="00BB12E8" w:rsidRDefault="00BB12E8" w:rsidP="00677171">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rsidR="00BB12E8" w:rsidRDefault="00BB12E8" w:rsidP="00677171">
            <w:pPr>
              <w:jc w:val="center"/>
              <w:rPr>
                <w:rFonts w:ascii="Arial" w:hAnsi="Arial" w:cs="Arial"/>
                <w:color w:val="6C6361"/>
                <w:sz w:val="24"/>
                <w:szCs w:val="24"/>
              </w:rPr>
            </w:pPr>
            <w:r>
              <w:rPr>
                <w:rFonts w:ascii="Arial" w:hAnsi="Arial" w:cs="Arial"/>
                <w:color w:val="6C6361"/>
                <w:sz w:val="24"/>
                <w:szCs w:val="24"/>
              </w:rPr>
              <w:t>LLB (</w:t>
            </w:r>
            <w:proofErr w:type="spellStart"/>
            <w:r>
              <w:rPr>
                <w:rFonts w:ascii="Arial" w:hAnsi="Arial" w:cs="Arial"/>
                <w:color w:val="6C6361"/>
                <w:sz w:val="24"/>
                <w:szCs w:val="24"/>
              </w:rPr>
              <w:t>Qld</w:t>
            </w:r>
            <w:proofErr w:type="spellEnd"/>
            <w:r>
              <w:rPr>
                <w:rFonts w:ascii="Arial" w:hAnsi="Arial" w:cs="Arial"/>
                <w:color w:val="6C6361"/>
                <w:sz w:val="24"/>
                <w:szCs w:val="24"/>
              </w:rPr>
              <w:t>), LLM (</w:t>
            </w:r>
            <w:proofErr w:type="spellStart"/>
            <w:r>
              <w:rPr>
                <w:rFonts w:ascii="Arial" w:hAnsi="Arial" w:cs="Arial"/>
                <w:color w:val="6C6361"/>
                <w:sz w:val="24"/>
                <w:szCs w:val="24"/>
              </w:rPr>
              <w:t>Hons</w:t>
            </w:r>
            <w:proofErr w:type="spellEnd"/>
            <w:r>
              <w:rPr>
                <w:rFonts w:ascii="Arial" w:hAnsi="Arial" w:cs="Arial"/>
                <w:color w:val="6C6361"/>
                <w:sz w:val="24"/>
                <w:szCs w:val="24"/>
              </w:rPr>
              <w:t>) (UTS),</w:t>
            </w:r>
          </w:p>
          <w:p w:rsidR="00BB12E8" w:rsidRPr="00AA2C59" w:rsidRDefault="00BB12E8" w:rsidP="00677171">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rsidR="00BB12E8" w:rsidRPr="00A35F54" w:rsidRDefault="00BB12E8" w:rsidP="00677171">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rsidR="00BB12E8" w:rsidRDefault="00BB12E8" w:rsidP="00677171">
            <w:pPr>
              <w:jc w:val="center"/>
              <w:rPr>
                <w:rFonts w:ascii="Arial" w:hAnsi="Arial" w:cs="Arial"/>
                <w:color w:val="6C6361"/>
                <w:sz w:val="24"/>
                <w:szCs w:val="24"/>
              </w:rPr>
            </w:pPr>
            <w:r>
              <w:rPr>
                <w:rFonts w:ascii="Arial" w:hAnsi="Arial" w:cs="Arial"/>
                <w:color w:val="6C6361"/>
                <w:sz w:val="24"/>
                <w:szCs w:val="24"/>
              </w:rPr>
              <w:t>Fellow, C.W. Chu College,</w:t>
            </w:r>
          </w:p>
          <w:p w:rsidR="00BB12E8" w:rsidRDefault="00BB12E8" w:rsidP="00677171">
            <w:pPr>
              <w:jc w:val="center"/>
              <w:rPr>
                <w:rFonts w:ascii="Arial" w:hAnsi="Arial" w:cs="Arial"/>
                <w:color w:val="6C6361"/>
                <w:sz w:val="24"/>
                <w:szCs w:val="24"/>
              </w:rPr>
            </w:pPr>
            <w:r>
              <w:rPr>
                <w:rFonts w:ascii="Arial" w:hAnsi="Arial" w:cs="Arial"/>
                <w:color w:val="6C6361"/>
                <w:sz w:val="24"/>
                <w:szCs w:val="24"/>
              </w:rPr>
              <w:t>The Chinese University of Hong Kong</w:t>
            </w:r>
          </w:p>
          <w:p w:rsidR="00BB12E8" w:rsidRPr="00D87ECF" w:rsidRDefault="00BB12E8" w:rsidP="00677171">
            <w:pPr>
              <w:jc w:val="center"/>
              <w:rPr>
                <w:rFonts w:ascii="Arial" w:hAnsi="Arial" w:cs="Arial"/>
                <w:color w:val="6C6361"/>
                <w:sz w:val="8"/>
                <w:szCs w:val="8"/>
              </w:rPr>
            </w:pPr>
          </w:p>
        </w:tc>
        <w:tc>
          <w:tcPr>
            <w:tcW w:w="5954" w:type="dxa"/>
            <w:shd w:val="clear" w:color="auto" w:fill="FFFFFF"/>
            <w:vAlign w:val="center"/>
          </w:tcPr>
          <w:p w:rsidR="00BB12E8" w:rsidRPr="00D50772" w:rsidRDefault="00BB12E8" w:rsidP="00677171">
            <w:pPr>
              <w:spacing w:line="276" w:lineRule="auto"/>
              <w:jc w:val="center"/>
              <w:rPr>
                <w:rFonts w:ascii="Arial" w:eastAsia="Times New Roman" w:hAnsi="Arial" w:cs="Arial"/>
                <w:noProof/>
                <w:sz w:val="20"/>
                <w:szCs w:val="20"/>
              </w:rPr>
            </w:pPr>
            <w:r w:rsidRPr="006605AF">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68E09F6" wp14:editId="6220EC8B">
                  <wp:simplePos x="0" y="0"/>
                  <wp:positionH relativeFrom="column">
                    <wp:posOffset>3174365</wp:posOffset>
                  </wp:positionH>
                  <wp:positionV relativeFrom="paragraph">
                    <wp:posOffset>-50165</wp:posOffset>
                  </wp:positionV>
                  <wp:extent cx="539750" cy="550545"/>
                  <wp:effectExtent l="0" t="0" r="0" b="190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41F89F5" wp14:editId="68FC405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B12E8" w:rsidRPr="00DB133D" w:rsidRDefault="00BB12E8" w:rsidP="00BB12E8">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BB12E8" w:rsidRPr="00F600AF" w:rsidTr="00677171">
        <w:trPr>
          <w:trHeight w:val="3291"/>
          <w:jc w:val="center"/>
        </w:trPr>
        <w:tc>
          <w:tcPr>
            <w:tcW w:w="1985" w:type="dxa"/>
            <w:shd w:val="clear" w:color="auto" w:fill="FFFFFF"/>
            <w:vAlign w:val="center"/>
          </w:tcPr>
          <w:p w:rsidR="00BB12E8" w:rsidRPr="00F600AF" w:rsidRDefault="00BB12E8" w:rsidP="00677171">
            <w:pPr>
              <w:spacing w:line="276" w:lineRule="auto"/>
              <w:jc w:val="center"/>
              <w:rPr>
                <w:rFonts w:ascii="Arial" w:hAnsi="Arial" w:cs="Arial"/>
              </w:rPr>
            </w:pPr>
            <w:r w:rsidRPr="00F600AF">
              <w:rPr>
                <w:rFonts w:ascii="Arial" w:hAnsi="Arial" w:cs="Arial"/>
                <w:noProof/>
              </w:rPr>
              <w:drawing>
                <wp:inline distT="0" distB="0" distL="0" distR="0" wp14:anchorId="303D1642" wp14:editId="328BB4D9">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BB12E8" w:rsidRPr="00F600AF" w:rsidRDefault="00BB12E8" w:rsidP="00677171">
            <w:pPr>
              <w:rPr>
                <w:rFonts w:ascii="Arial" w:hAnsi="Arial" w:cs="Arial"/>
                <w:color w:val="6C6361"/>
                <w:sz w:val="21"/>
                <w:szCs w:val="21"/>
              </w:rPr>
            </w:pPr>
            <w:r w:rsidRPr="00F600AF">
              <w:rPr>
                <w:rFonts w:ascii="Arial" w:hAnsi="Arial" w:cs="Arial"/>
                <w:color w:val="6C6361"/>
                <w:sz w:val="21"/>
                <w:szCs w:val="21"/>
              </w:rPr>
              <w:t>Professor Stephen Hall is a legal scholar in Hong Kong who has eighteen years’ experience teaching Hong Kong contract law at both The Chinese University of Hong Kong (CUHK) and City University of Hong Kong (</w:t>
            </w:r>
            <w:proofErr w:type="spellStart"/>
            <w:r w:rsidRPr="00F600AF">
              <w:rPr>
                <w:rFonts w:ascii="Arial" w:hAnsi="Arial" w:cs="Arial"/>
                <w:color w:val="6C6361"/>
                <w:sz w:val="21"/>
                <w:szCs w:val="21"/>
              </w:rPr>
              <w:t>CityU</w:t>
            </w:r>
            <w:proofErr w:type="spellEnd"/>
            <w:r w:rsidRPr="00F600AF">
              <w:rPr>
                <w:rFonts w:ascii="Arial" w:hAnsi="Arial" w:cs="Arial"/>
                <w:color w:val="6C6361"/>
                <w:sz w:val="21"/>
                <w:szCs w:val="21"/>
              </w:rPr>
              <w:t xml:space="preserve">).  He has received numerous awards for teaching and research.  Among his publications are Law of Contract in Hong Kong: Cases and Commentary (6th ed., LexisNexis, 2019), Ho and Hall’s Hong Kong Contract Law (5th ed., LexisNexis, 2019), and the ‘Contract’ title in Volume 18 of </w:t>
            </w:r>
            <w:proofErr w:type="spellStart"/>
            <w:r w:rsidRPr="00F600AF">
              <w:rPr>
                <w:rFonts w:ascii="Arial" w:hAnsi="Arial" w:cs="Arial"/>
                <w:color w:val="6C6361"/>
                <w:sz w:val="21"/>
                <w:szCs w:val="21"/>
              </w:rPr>
              <w:t>Halsbury’s</w:t>
            </w:r>
            <w:proofErr w:type="spellEnd"/>
            <w:r w:rsidRPr="00F600AF">
              <w:rPr>
                <w:rFonts w:ascii="Arial" w:hAnsi="Arial" w:cs="Arial"/>
                <w:color w:val="6C6361"/>
                <w:sz w:val="21"/>
                <w:szCs w:val="21"/>
              </w:rPr>
              <w:t xml:space="preserve"> Laws of Hong Kong (2nd ed., LexisNexis, 2020, 2018, 2015, 2012, and 2007 reissues).  Professor Hall founded the Juris Doctor </w:t>
            </w:r>
            <w:proofErr w:type="spellStart"/>
            <w:r w:rsidRPr="00F600AF">
              <w:rPr>
                <w:rFonts w:ascii="Arial" w:hAnsi="Arial" w:cs="Arial"/>
                <w:color w:val="6C6361"/>
                <w:sz w:val="21"/>
                <w:szCs w:val="21"/>
              </w:rPr>
              <w:t>programmes</w:t>
            </w:r>
            <w:proofErr w:type="spellEnd"/>
            <w:r w:rsidRPr="00F600AF">
              <w:rPr>
                <w:rFonts w:ascii="Arial" w:hAnsi="Arial" w:cs="Arial"/>
                <w:color w:val="6C6361"/>
                <w:sz w:val="21"/>
                <w:szCs w:val="21"/>
              </w:rPr>
              <w:t xml:space="preserve"> at both CUHK and </w:t>
            </w:r>
            <w:proofErr w:type="spellStart"/>
            <w:r w:rsidRPr="00F600AF">
              <w:rPr>
                <w:rFonts w:ascii="Arial" w:hAnsi="Arial" w:cs="Arial"/>
                <w:color w:val="6C6361"/>
                <w:sz w:val="21"/>
                <w:szCs w:val="21"/>
              </w:rPr>
              <w:t>CityU</w:t>
            </w:r>
            <w:proofErr w:type="spellEnd"/>
            <w:r w:rsidRPr="00F600AF">
              <w:rPr>
                <w:rFonts w:ascii="Arial" w:hAnsi="Arial" w:cs="Arial"/>
                <w:color w:val="6C6361"/>
                <w:sz w:val="21"/>
                <w:szCs w:val="21"/>
              </w:rPr>
              <w:t xml:space="preserve">.  Prior to arriving in Hong Kong, he taught for six years at the University of New South Wales after a decade in legal practice with the Australian Attorney-General’s Department.  Professor Hall received his Bachelor of Laws degree at the University of Queensland, a Master of Laws degree with first class </w:t>
            </w:r>
            <w:proofErr w:type="spellStart"/>
            <w:r w:rsidRPr="00F600AF">
              <w:rPr>
                <w:rFonts w:ascii="Arial" w:hAnsi="Arial" w:cs="Arial"/>
                <w:color w:val="6C6361"/>
                <w:sz w:val="21"/>
                <w:szCs w:val="21"/>
              </w:rPr>
              <w:t>honours</w:t>
            </w:r>
            <w:proofErr w:type="spellEnd"/>
            <w:r w:rsidRPr="00F600AF">
              <w:rPr>
                <w:rFonts w:ascii="Arial" w:hAnsi="Arial" w:cs="Arial"/>
                <w:color w:val="6C6361"/>
                <w:sz w:val="21"/>
                <w:szCs w:val="21"/>
              </w:rPr>
              <w:t xml:space="preserve"> at the University of Technology Sydney, and a Doctor of Philosophy degree as a Commonwealth Scholar at the University of Oxford (Oriel College).</w:t>
            </w:r>
          </w:p>
        </w:tc>
      </w:tr>
    </w:tbl>
    <w:p w:rsidR="00BB12E8" w:rsidRPr="00DB133D" w:rsidRDefault="00BB12E8" w:rsidP="00BB12E8">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BB12E8" w:rsidRPr="00F600AF" w:rsidTr="00677171">
        <w:trPr>
          <w:trHeight w:val="2221"/>
          <w:jc w:val="center"/>
        </w:trPr>
        <w:tc>
          <w:tcPr>
            <w:tcW w:w="10773" w:type="dxa"/>
            <w:gridSpan w:val="2"/>
            <w:tcBorders>
              <w:top w:val="nil"/>
              <w:bottom w:val="nil"/>
            </w:tcBorders>
            <w:shd w:val="clear" w:color="auto" w:fill="FFFFFF" w:themeFill="background1"/>
            <w:vAlign w:val="center"/>
          </w:tcPr>
          <w:p w:rsidR="00BB12E8" w:rsidRPr="00F600AF" w:rsidRDefault="00BB12E8" w:rsidP="00677171">
            <w:pPr>
              <w:ind w:right="33"/>
              <w:rPr>
                <w:rFonts w:ascii="Arial" w:hAnsi="Arial" w:cs="Arial"/>
                <w:color w:val="6C6361"/>
                <w:sz w:val="21"/>
                <w:szCs w:val="21"/>
              </w:rPr>
            </w:pPr>
            <w:r w:rsidRPr="00F600AF">
              <w:rPr>
                <w:rFonts w:ascii="Arial" w:hAnsi="Arial" w:cs="Arial"/>
                <w:color w:val="6C6361"/>
                <w:sz w:val="21"/>
                <w:szCs w:val="21"/>
              </w:rPr>
              <w:t>Among the ‘three pillars’ of contract formation, and the one least commonly discussed and understood, is the requirement that the parties must have intended to establish contractual relations.  This means that the parties must have intended that their agreement would be legally enforceable in the event of breach.  Absent such intention, an agreement is contractually void.</w:t>
            </w:r>
          </w:p>
          <w:p w:rsidR="00BB12E8" w:rsidRPr="00F600AF" w:rsidRDefault="00BB12E8" w:rsidP="00677171">
            <w:pPr>
              <w:ind w:right="33"/>
              <w:rPr>
                <w:rFonts w:ascii="Arial" w:hAnsi="Arial" w:cs="Arial"/>
                <w:color w:val="6C6361"/>
                <w:sz w:val="10"/>
                <w:szCs w:val="10"/>
              </w:rPr>
            </w:pPr>
          </w:p>
          <w:p w:rsidR="00BB12E8" w:rsidRPr="00F600AF" w:rsidRDefault="00BB12E8" w:rsidP="00677171">
            <w:pPr>
              <w:ind w:right="33"/>
              <w:rPr>
                <w:rFonts w:ascii="Arial" w:hAnsi="Arial" w:cs="Arial"/>
                <w:color w:val="6C6361"/>
                <w:sz w:val="21"/>
                <w:szCs w:val="21"/>
              </w:rPr>
            </w:pPr>
            <w:r w:rsidRPr="00F600AF">
              <w:rPr>
                <w:rFonts w:ascii="Arial" w:hAnsi="Arial" w:cs="Arial"/>
                <w:color w:val="6C6361"/>
                <w:sz w:val="21"/>
                <w:szCs w:val="21"/>
              </w:rPr>
              <w:t xml:space="preserve">This course will examine: the historical and functional role of intention in the wider scheme of contract formation, the presumption against contractual intention in domestic and social agreements,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contractual intention in commercial agreements, intention as a marker distinguishing letters of credit from contracts of guarantee.</w:t>
            </w:r>
          </w:p>
        </w:tc>
      </w:tr>
      <w:tr w:rsidR="00BB12E8" w:rsidRPr="00F600AF" w:rsidTr="00677171">
        <w:trPr>
          <w:trHeight w:val="340"/>
          <w:jc w:val="center"/>
        </w:trPr>
        <w:tc>
          <w:tcPr>
            <w:tcW w:w="9057" w:type="dxa"/>
            <w:tcBorders>
              <w:top w:val="nil"/>
              <w:bottom w:val="nil"/>
              <w:right w:val="nil"/>
            </w:tcBorders>
            <w:shd w:val="clear" w:color="auto" w:fill="F0EBE1"/>
            <w:vAlign w:val="center"/>
          </w:tcPr>
          <w:p w:rsidR="00BB12E8" w:rsidRPr="00F600AF" w:rsidRDefault="00BB12E8" w:rsidP="00677171">
            <w:pPr>
              <w:rPr>
                <w:rFonts w:ascii="Arial" w:hAnsi="Arial" w:cs="Arial"/>
                <w:b/>
                <w:color w:val="524B48"/>
                <w:sz w:val="21"/>
                <w:szCs w:val="21"/>
              </w:rPr>
            </w:pPr>
            <w:r w:rsidRPr="00F600AF">
              <w:rPr>
                <w:rFonts w:ascii="Arial" w:hAnsi="Arial" w:cs="Arial"/>
                <w:b/>
                <w:color w:val="524B48"/>
                <w:sz w:val="21"/>
                <w:szCs w:val="21"/>
              </w:rPr>
              <w:t>This course will cover the followings:</w:t>
            </w:r>
            <w:r w:rsidRPr="00F600AF">
              <w:rPr>
                <w:rFonts w:ascii="Arial" w:hAnsi="Arial" w:cs="Arial"/>
                <w:noProof/>
                <w:color w:val="6C6361"/>
                <w:sz w:val="21"/>
                <w:szCs w:val="21"/>
              </w:rPr>
              <w:t xml:space="preserve"> </w:t>
            </w:r>
          </w:p>
        </w:tc>
        <w:tc>
          <w:tcPr>
            <w:tcW w:w="1716" w:type="dxa"/>
            <w:vMerge w:val="restart"/>
            <w:tcBorders>
              <w:top w:val="nil"/>
              <w:left w:val="nil"/>
              <w:bottom w:val="nil"/>
              <w:right w:val="nil"/>
            </w:tcBorders>
            <w:shd w:val="clear" w:color="auto" w:fill="FFFFFF" w:themeFill="background1"/>
            <w:vAlign w:val="center"/>
          </w:tcPr>
          <w:p w:rsidR="00BB12E8" w:rsidRPr="00F600AF" w:rsidRDefault="00BB12E8" w:rsidP="00677171">
            <w:pPr>
              <w:jc w:val="center"/>
              <w:rPr>
                <w:rFonts w:ascii="Arial" w:hAnsi="Arial" w:cs="Arial"/>
                <w:b/>
                <w:color w:val="524B48"/>
                <w:sz w:val="21"/>
                <w:szCs w:val="21"/>
              </w:rPr>
            </w:pPr>
            <w:r w:rsidRPr="00DB133D">
              <w:rPr>
                <w:noProof/>
                <w:sz w:val="21"/>
                <w:szCs w:val="21"/>
              </w:rPr>
              <w:drawing>
                <wp:inline distT="0" distB="0" distL="0" distR="0" wp14:anchorId="34A5BEA0" wp14:editId="558ED924">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BB12E8" w:rsidRPr="00F600AF" w:rsidTr="00677171">
        <w:trPr>
          <w:trHeight w:val="1649"/>
          <w:jc w:val="center"/>
        </w:trPr>
        <w:tc>
          <w:tcPr>
            <w:tcW w:w="9057" w:type="dxa"/>
            <w:tcBorders>
              <w:top w:val="nil"/>
              <w:bottom w:val="nil"/>
            </w:tcBorders>
            <w:shd w:val="clear" w:color="auto" w:fill="FFFFFF"/>
            <w:vAlign w:val="center"/>
          </w:tcPr>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Historical and functional context of contractual intention</w:t>
            </w:r>
          </w:p>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Domestic agreements and presumption against intention</w:t>
            </w:r>
          </w:p>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The 6 factors relevant to rebutting the presumption against intention</w:t>
            </w:r>
          </w:p>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 xml:space="preserve">Commercial agreements and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intention</w:t>
            </w:r>
          </w:p>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 xml:space="preserve">Modes of rebutting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intention, including ‘subject to contract’</w:t>
            </w:r>
          </w:p>
          <w:p w:rsidR="00BB12E8" w:rsidRPr="00F600AF" w:rsidRDefault="00BB12E8" w:rsidP="00677171">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Intention, letters of comfort, and contracts of guarantee</w:t>
            </w:r>
          </w:p>
        </w:tc>
        <w:tc>
          <w:tcPr>
            <w:tcW w:w="1716" w:type="dxa"/>
            <w:vMerge/>
            <w:tcBorders>
              <w:bottom w:val="nil"/>
              <w:right w:val="nil"/>
            </w:tcBorders>
            <w:shd w:val="clear" w:color="auto" w:fill="FFFFFF" w:themeFill="background1"/>
            <w:vAlign w:val="center"/>
          </w:tcPr>
          <w:p w:rsidR="00BB12E8" w:rsidRPr="00F600AF" w:rsidRDefault="00BB12E8" w:rsidP="00677171">
            <w:pPr>
              <w:rPr>
                <w:rFonts w:ascii="Arial" w:hAnsi="Arial" w:cs="Arial"/>
                <w:color w:val="6C6361"/>
                <w:sz w:val="21"/>
                <w:szCs w:val="21"/>
              </w:rPr>
            </w:pPr>
          </w:p>
        </w:tc>
      </w:tr>
    </w:tbl>
    <w:p w:rsidR="00BB12E8" w:rsidRPr="002C5E76" w:rsidRDefault="00BB12E8" w:rsidP="00E95A6D">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00"/>
        <w:gridCol w:w="1285"/>
      </w:tblGrid>
      <w:tr w:rsidR="00BB12E8" w:rsidRPr="000762CF" w:rsidTr="002C5E76">
        <w:trPr>
          <w:trHeight w:val="340"/>
          <w:jc w:val="center"/>
        </w:trPr>
        <w:tc>
          <w:tcPr>
            <w:tcW w:w="1701" w:type="dxa"/>
            <w:tcBorders>
              <w:top w:val="nil"/>
              <w:left w:val="nil"/>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EVT000000328</w:t>
            </w:r>
          </w:p>
        </w:tc>
        <w:tc>
          <w:tcPr>
            <w:tcW w:w="1701" w:type="dxa"/>
            <w:tcBorders>
              <w:top w:val="nil"/>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B12E8"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BB12E8"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22 October 2020 (Thursday)</w:t>
            </w:r>
          </w:p>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BB12E8"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B12E8" w:rsidRPr="00393E7C"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tc>
      </w:tr>
      <w:tr w:rsidR="00BB12E8" w:rsidRPr="000762CF" w:rsidTr="00FC6A9B">
        <w:trPr>
          <w:trHeight w:val="1247"/>
          <w:jc w:val="center"/>
        </w:trPr>
        <w:tc>
          <w:tcPr>
            <w:tcW w:w="1701" w:type="dxa"/>
            <w:tcBorders>
              <w:top w:val="single" w:sz="12" w:space="0" w:color="FFFFFF"/>
              <w:left w:val="nil"/>
              <w:bottom w:val="nil"/>
            </w:tcBorders>
            <w:shd w:val="clear" w:color="auto" w:fill="F0EBE1"/>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Online </w:t>
            </w:r>
            <w:r w:rsidRPr="00BB12E8">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BB12E8" w:rsidRPr="00156567"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FCA217" wp14:editId="04E34C0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C5E76" w:rsidRDefault="00214BC6" w:rsidP="00E95A6D">
      <w:pPr>
        <w:rPr>
          <w:sz w:val="2"/>
          <w:szCs w:val="2"/>
        </w:rPr>
      </w:pPr>
    </w:p>
    <w:sectPr w:rsidR="00214BC6" w:rsidRPr="002C5E76"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F4D" w:rsidRDefault="00295F4D" w:rsidP="00546556">
      <w:r>
        <w:separator/>
      </w:r>
    </w:p>
  </w:endnote>
  <w:endnote w:type="continuationSeparator" w:id="0">
    <w:p w:rsidR="00295F4D" w:rsidRDefault="00295F4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F4D" w:rsidRDefault="00295F4D" w:rsidP="00546556">
      <w:r>
        <w:separator/>
      </w:r>
    </w:p>
  </w:footnote>
  <w:footnote w:type="continuationSeparator" w:id="0">
    <w:p w:rsidR="00295F4D" w:rsidRDefault="00295F4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cuWLcDWa+HhJZantGS1wCs9g9xKsS318ylbFUHTQ8BFFwptxis2cf4t0zKICzsipE1iVTEC8k9U+/x8QEI+vbA==" w:salt="oMQeNbZqZ+N4C0KeHcfM0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5F4D"/>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E76"/>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0D1D"/>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2E8"/>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995"/>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28/"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7F594-6A7E-4266-9830-C694ADD8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Misrepresentation and Remedies in Hong Kong Contract Law</vt:lpstr>
    </vt:vector>
  </TitlesOfParts>
  <Manager>Tyrone Tsang</Manager>
  <Company>The Profectional Company Limited</Company>
  <LinksUpToDate>false</LinksUpToDate>
  <CharactersWithSpaces>2917</CharactersWithSpaces>
  <SharedDoc>false</SharedDoc>
  <HyperlinkBase>http://download.profectional.com/events/EVT000000328.docx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Intention in Contract Formation</dc:title>
  <dc:subject>CPD Course: Intention in Contract Formation</dc:subject>
  <dc:creator>The Profectional Company Limited</dc:creator>
  <cp:keywords>Profectional; Kornerstone; CPD; CPT; CLE; CE; RME; Stephen Hall; Professor; Faculty of Law; Fellow; C.W. Chu College; The Chinese University of Hong Kong</cp:keywords>
  <cp:lastModifiedBy>Tyrone Tsang</cp:lastModifiedBy>
  <cp:revision>23</cp:revision>
  <cp:lastPrinted>2020-10-21T06:04:00Z</cp:lastPrinted>
  <dcterms:created xsi:type="dcterms:W3CDTF">2015-05-28T16:24:00Z</dcterms:created>
  <dcterms:modified xsi:type="dcterms:W3CDTF">2020-10-21T06:04:00Z</dcterms:modified>
</cp:coreProperties>
</file>